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6458F7" w:rsidRDefault="00AF2AC0" w:rsidP="00DC69ED">
      <w:pPr>
        <w:suppressAutoHyphens w:val="0"/>
        <w:ind w:firstLine="567"/>
        <w:jc w:val="right"/>
        <w:rPr>
          <w:rFonts w:ascii="Times New Roman" w:eastAsia="Arial Unicode MS" w:hAnsi="Times New Roman"/>
          <w:sz w:val="24"/>
          <w:szCs w:val="24"/>
        </w:rPr>
      </w:pPr>
      <w:r w:rsidRPr="006458F7">
        <w:rPr>
          <w:rFonts w:ascii="Times New Roman" w:eastAsia="Arial Unicode MS" w:hAnsi="Times New Roman"/>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91603B" w:rsidRDefault="0091603B" w:rsidP="0091603B">
      <w:pPr>
        <w:ind w:firstLine="567"/>
        <w:jc w:val="center"/>
      </w:pPr>
      <w:r>
        <w:rPr>
          <w:rFonts w:ascii="Times New Roman" w:hAnsi="Times New Roman"/>
          <w:sz w:val="24"/>
        </w:rPr>
        <w:t>Кафедра бизнес-информатики</w:t>
      </w: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91603B" w:rsidTr="007B4FC9">
        <w:trPr>
          <w:trHeight w:val="3498"/>
        </w:trPr>
        <w:tc>
          <w:tcPr>
            <w:tcW w:w="5070" w:type="dxa"/>
            <w:tcMar>
              <w:top w:w="0" w:type="dxa"/>
              <w:left w:w="108" w:type="dxa"/>
              <w:bottom w:w="0" w:type="dxa"/>
              <w:right w:w="108" w:type="dxa"/>
            </w:tcMar>
          </w:tcPr>
          <w:p w:rsidR="0091603B" w:rsidRDefault="0091603B" w:rsidP="007B4FC9">
            <w:pPr>
              <w:ind w:firstLine="567"/>
              <w:jc w:val="center"/>
            </w:pPr>
          </w:p>
          <w:p w:rsidR="0091603B" w:rsidRDefault="0091603B" w:rsidP="007B4FC9">
            <w:pPr>
              <w:ind w:firstLine="567"/>
              <w:jc w:val="center"/>
            </w:pPr>
          </w:p>
        </w:tc>
        <w:tc>
          <w:tcPr>
            <w:tcW w:w="4677" w:type="dxa"/>
            <w:tcMar>
              <w:top w:w="0" w:type="dxa"/>
              <w:left w:w="108" w:type="dxa"/>
              <w:bottom w:w="0" w:type="dxa"/>
              <w:right w:w="108" w:type="dxa"/>
            </w:tcMar>
          </w:tcPr>
          <w:p w:rsidR="0091603B" w:rsidRDefault="0091603B" w:rsidP="007B4FC9">
            <w:pPr>
              <w:spacing w:before="120" w:after="120"/>
              <w:ind w:firstLine="567"/>
            </w:pPr>
          </w:p>
          <w:p w:rsidR="0091603B" w:rsidRDefault="0091603B" w:rsidP="007B4FC9">
            <w:pPr>
              <w:ind w:firstLine="459"/>
              <w:rPr>
                <w:rFonts w:ascii="Times New Roman" w:hAnsi="Times New Roman"/>
                <w:sz w:val="24"/>
                <w:szCs w:val="24"/>
              </w:rPr>
            </w:pPr>
            <w:r>
              <w:rPr>
                <w:rFonts w:ascii="Times New Roman" w:hAnsi="Times New Roman"/>
                <w:sz w:val="24"/>
                <w:szCs w:val="24"/>
              </w:rPr>
              <w:t>УТВЕРЖДЕНА</w:t>
            </w:r>
          </w:p>
          <w:p w:rsidR="0091603B" w:rsidRDefault="0091603B" w:rsidP="007B4FC9">
            <w:pPr>
              <w:ind w:left="460"/>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91603B" w:rsidRDefault="00747871" w:rsidP="007B4FC9">
            <w:pPr>
              <w:spacing w:before="120" w:after="120"/>
              <w:ind w:firstLine="567"/>
            </w:pPr>
            <w:r>
              <w:rPr>
                <w:rFonts w:ascii="Times New Roman" w:hAnsi="Times New Roman"/>
                <w:color w:val="000000"/>
                <w:sz w:val="24"/>
                <w:szCs w:val="24"/>
              </w:rPr>
              <w:t>Протокол от «24» июня 2019 г. № 8</w:t>
            </w:r>
          </w:p>
          <w:p w:rsidR="0091603B" w:rsidRDefault="0091603B" w:rsidP="007B4FC9">
            <w:pPr>
              <w:spacing w:before="120" w:after="120"/>
              <w:ind w:firstLine="567"/>
            </w:pPr>
          </w:p>
        </w:tc>
      </w:tr>
    </w:tbl>
    <w:p w:rsidR="0091603B" w:rsidRDefault="0091603B" w:rsidP="0091603B">
      <w:pPr>
        <w:ind w:right="-284" w:firstLine="567"/>
        <w:jc w:val="center"/>
      </w:pPr>
    </w:p>
    <w:p w:rsidR="0091603B" w:rsidRDefault="0091603B" w:rsidP="0091603B">
      <w:pPr>
        <w:ind w:right="-284" w:firstLine="567"/>
        <w:jc w:val="center"/>
      </w:pPr>
      <w:r>
        <w:rPr>
          <w:rFonts w:ascii="Times New Roman" w:hAnsi="Times New Roman"/>
          <w:b/>
          <w:bCs/>
          <w:sz w:val="24"/>
          <w:szCs w:val="24"/>
        </w:rPr>
        <w:t xml:space="preserve">РАБОЧАЯ ПРОГРАММА ДИСЦИПЛИНЫ </w:t>
      </w:r>
    </w:p>
    <w:p w:rsidR="0091603B" w:rsidRDefault="0091603B" w:rsidP="0091603B">
      <w:pPr>
        <w:ind w:firstLine="567"/>
        <w:jc w:val="center"/>
        <w:rPr>
          <w:rFonts w:ascii="Times New Roman" w:hAnsi="Times New Roman"/>
          <w:b/>
          <w:sz w:val="24"/>
          <w:szCs w:val="28"/>
        </w:rPr>
      </w:pPr>
    </w:p>
    <w:p w:rsidR="0091603B" w:rsidRPr="0075250F" w:rsidRDefault="0091603B" w:rsidP="0091603B">
      <w:pPr>
        <w:ind w:firstLine="567"/>
        <w:jc w:val="center"/>
        <w:rPr>
          <w:rFonts w:ascii="Times New Roman" w:hAnsi="Times New Roman"/>
          <w:b/>
          <w:sz w:val="28"/>
          <w:szCs w:val="28"/>
        </w:rPr>
      </w:pPr>
      <w:r w:rsidRPr="0075250F">
        <w:rPr>
          <w:rFonts w:ascii="Times New Roman" w:hAnsi="Times New Roman"/>
          <w:b/>
          <w:sz w:val="28"/>
          <w:szCs w:val="28"/>
        </w:rPr>
        <w:t>Б1.Б.</w:t>
      </w:r>
      <w:r w:rsidRPr="0091603B">
        <w:rPr>
          <w:rFonts w:ascii="Times New Roman" w:hAnsi="Times New Roman"/>
          <w:b/>
          <w:sz w:val="28"/>
          <w:szCs w:val="28"/>
        </w:rPr>
        <w:t>01</w:t>
      </w:r>
      <w:r>
        <w:rPr>
          <w:rFonts w:ascii="Times New Roman" w:hAnsi="Times New Roman"/>
          <w:b/>
          <w:sz w:val="28"/>
          <w:szCs w:val="28"/>
        </w:rPr>
        <w:t>.</w:t>
      </w:r>
      <w:r w:rsidRPr="0091603B">
        <w:rPr>
          <w:rFonts w:ascii="Times New Roman" w:hAnsi="Times New Roman"/>
          <w:b/>
          <w:sz w:val="28"/>
          <w:szCs w:val="28"/>
        </w:rPr>
        <w:t>0</w:t>
      </w:r>
      <w:r>
        <w:rPr>
          <w:rFonts w:ascii="Times New Roman" w:hAnsi="Times New Roman"/>
          <w:b/>
          <w:sz w:val="28"/>
          <w:szCs w:val="28"/>
        </w:rPr>
        <w:t>1</w:t>
      </w:r>
      <w:r w:rsidRPr="0075250F">
        <w:rPr>
          <w:rFonts w:ascii="Times New Roman" w:hAnsi="Times New Roman"/>
          <w:b/>
          <w:sz w:val="28"/>
          <w:szCs w:val="28"/>
        </w:rPr>
        <w:t xml:space="preserve"> – </w:t>
      </w:r>
      <w:r>
        <w:rPr>
          <w:rFonts w:ascii="Times New Roman" w:hAnsi="Times New Roman"/>
          <w:b/>
          <w:sz w:val="28"/>
          <w:szCs w:val="28"/>
        </w:rPr>
        <w:t>История и философия науки</w:t>
      </w:r>
    </w:p>
    <w:p w:rsidR="0091603B" w:rsidRPr="0075250F" w:rsidRDefault="0091603B" w:rsidP="0091603B">
      <w:pPr>
        <w:ind w:firstLine="567"/>
        <w:jc w:val="center"/>
        <w:rPr>
          <w:rFonts w:ascii="Times New Roman" w:hAnsi="Times New Roman"/>
          <w:sz w:val="28"/>
          <w:szCs w:val="28"/>
        </w:rPr>
      </w:pP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91603B" w:rsidRPr="00AC5EB2" w:rsidRDefault="0091603B" w:rsidP="0091603B">
      <w:pPr>
        <w:ind w:firstLine="567"/>
        <w:jc w:val="center"/>
        <w:rPr>
          <w:rFonts w:ascii="Times New Roman" w:hAnsi="Times New Roman"/>
          <w:i/>
          <w:sz w:val="16"/>
          <w:szCs w:val="16"/>
        </w:rPr>
      </w:pPr>
      <w:r w:rsidRPr="00AC5EB2">
        <w:rPr>
          <w:rFonts w:ascii="Times New Roman" w:hAnsi="Times New Roman"/>
          <w:i/>
          <w:sz w:val="16"/>
          <w:szCs w:val="16"/>
        </w:rPr>
        <w:t>(код,наименование направления подготовки)</w:t>
      </w:r>
    </w:p>
    <w:p w:rsidR="0091603B" w:rsidRPr="00C762BD" w:rsidRDefault="0091603B" w:rsidP="0091603B">
      <w:pPr>
        <w:ind w:firstLine="567"/>
        <w:jc w:val="center"/>
        <w:rPr>
          <w:rFonts w:ascii="Times New Roman" w:hAnsi="Times New Roman"/>
          <w:sz w:val="24"/>
        </w:rPr>
      </w:pPr>
    </w:p>
    <w:p w:rsidR="0091603B" w:rsidRDefault="0091603B" w:rsidP="0091603B">
      <w:pPr>
        <w:ind w:firstLine="567"/>
        <w:jc w:val="center"/>
        <w:rPr>
          <w:rFonts w:ascii="Times New Roman" w:hAnsi="Times New Roman"/>
          <w:sz w:val="24"/>
          <w:szCs w:val="24"/>
        </w:rPr>
      </w:pPr>
      <w:r>
        <w:rPr>
          <w:rFonts w:ascii="Times New Roman" w:hAnsi="Times New Roman"/>
          <w:sz w:val="24"/>
          <w:szCs w:val="24"/>
        </w:rPr>
        <w:t xml:space="preserve">«Системный анализ, управление и обработка информации» </w:t>
      </w:r>
    </w:p>
    <w:p w:rsidR="0091603B" w:rsidRDefault="0091603B" w:rsidP="0091603B">
      <w:pPr>
        <w:ind w:firstLine="567"/>
        <w:jc w:val="center"/>
        <w:rPr>
          <w:rFonts w:ascii="Times New Roman" w:hAnsi="Times New Roman"/>
          <w:i/>
          <w:sz w:val="16"/>
          <w:szCs w:val="16"/>
        </w:rPr>
      </w:pPr>
      <w:r>
        <w:rPr>
          <w:rFonts w:ascii="Times New Roman" w:hAnsi="Times New Roman"/>
          <w:i/>
          <w:sz w:val="16"/>
          <w:szCs w:val="16"/>
        </w:rPr>
        <w:t>(направленность)</w:t>
      </w:r>
    </w:p>
    <w:p w:rsidR="0091603B" w:rsidRPr="00C762BD" w:rsidRDefault="0091603B" w:rsidP="0091603B">
      <w:pPr>
        <w:ind w:firstLine="567"/>
        <w:jc w:val="center"/>
        <w:rPr>
          <w:rFonts w:ascii="Times New Roman" w:hAnsi="Times New Roman"/>
          <w:sz w:val="24"/>
        </w:rPr>
      </w:pPr>
    </w:p>
    <w:p w:rsidR="0091603B" w:rsidRPr="00413B90" w:rsidRDefault="0091603B" w:rsidP="0091603B">
      <w:pPr>
        <w:ind w:firstLine="567"/>
        <w:jc w:val="center"/>
        <w:rPr>
          <w:rFonts w:ascii="Times New Roman" w:hAnsi="Times New Roman"/>
          <w:sz w:val="24"/>
          <w:szCs w:val="24"/>
        </w:rPr>
      </w:pPr>
      <w:r>
        <w:rPr>
          <w:rFonts w:ascii="Times New Roman" w:hAnsi="Times New Roman"/>
          <w:sz w:val="24"/>
          <w:szCs w:val="24"/>
        </w:rPr>
        <w:t>Исследователь. П</w:t>
      </w:r>
      <w:r w:rsidRPr="00413B90">
        <w:rPr>
          <w:rFonts w:ascii="Times New Roman" w:hAnsi="Times New Roman"/>
          <w:sz w:val="24"/>
          <w:szCs w:val="24"/>
        </w:rPr>
        <w:t>реподаватель-исследователь</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91603B" w:rsidRPr="00C762BD" w:rsidRDefault="0091603B" w:rsidP="0091603B">
      <w:pPr>
        <w:ind w:firstLine="567"/>
        <w:jc w:val="center"/>
        <w:rPr>
          <w:rFonts w:ascii="Times New Roman" w:hAnsi="Times New Roman"/>
          <w:sz w:val="24"/>
        </w:rPr>
      </w:pPr>
      <w:r w:rsidRPr="00C762BD">
        <w:rPr>
          <w:rFonts w:ascii="Times New Roman" w:hAnsi="Times New Roman"/>
          <w:sz w:val="24"/>
        </w:rPr>
        <w:t xml:space="preserve"> </w:t>
      </w: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91603B" w:rsidRPr="00C762BD" w:rsidRDefault="0091603B" w:rsidP="0091603B">
      <w:pPr>
        <w:ind w:firstLine="567"/>
        <w:jc w:val="center"/>
        <w:rPr>
          <w:rFonts w:ascii="Times New Roman" w:hAnsi="Times New Roman"/>
          <w:sz w:val="24"/>
        </w:rPr>
      </w:pPr>
    </w:p>
    <w:p w:rsidR="0091603B" w:rsidRPr="00C762BD" w:rsidRDefault="0091603B" w:rsidP="0091603B">
      <w:pPr>
        <w:ind w:firstLine="567"/>
        <w:jc w:val="center"/>
        <w:rPr>
          <w:rFonts w:ascii="Times New Roman" w:hAnsi="Times New Roman"/>
          <w:sz w:val="24"/>
        </w:rPr>
      </w:pPr>
    </w:p>
    <w:p w:rsidR="0091603B" w:rsidRPr="00747871" w:rsidRDefault="0091603B" w:rsidP="0091603B">
      <w:pPr>
        <w:ind w:firstLine="567"/>
        <w:jc w:val="center"/>
        <w:rPr>
          <w:rFonts w:ascii="Times New Roman" w:hAnsi="Times New Roman"/>
          <w:sz w:val="24"/>
        </w:rPr>
      </w:pPr>
      <w:r w:rsidRPr="00C762BD">
        <w:rPr>
          <w:rFonts w:ascii="Times New Roman" w:hAnsi="Times New Roman"/>
          <w:sz w:val="24"/>
        </w:rPr>
        <w:t>Год набора – 201</w:t>
      </w:r>
      <w:r w:rsidR="001002FD" w:rsidRPr="00747871">
        <w:rPr>
          <w:rFonts w:ascii="Times New Roman" w:hAnsi="Times New Roman"/>
          <w:sz w:val="24"/>
        </w:rPr>
        <w:t>9</w:t>
      </w: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413B90" w:rsidRDefault="0091603B" w:rsidP="0091603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sidR="00747871" w:rsidRPr="007A4F65">
        <w:rPr>
          <w:rFonts w:ascii="Times New Roman" w:hAnsi="Times New Roman"/>
          <w:sz w:val="24"/>
        </w:rPr>
        <w:t>9</w:t>
      </w:r>
      <w:r w:rsidRPr="00C762BD">
        <w:rPr>
          <w:rFonts w:ascii="Times New Roman" w:hAnsi="Times New Roman"/>
          <w:sz w:val="24"/>
        </w:rPr>
        <w:t xml:space="preserve"> г.</w:t>
      </w:r>
    </w:p>
    <w:p w:rsidR="0091603B" w:rsidRPr="000D49B6" w:rsidRDefault="0091603B" w:rsidP="0091603B">
      <w:pPr>
        <w:ind w:firstLine="567"/>
        <w:jc w:val="center"/>
        <w:rPr>
          <w:rFonts w:ascii="Times New Roman" w:hAnsi="Times New Roman"/>
          <w:sz w:val="28"/>
          <w:szCs w:val="28"/>
        </w:rPr>
        <w:sectPr w:rsidR="0091603B" w:rsidRPr="000D49B6" w:rsidSect="0091603B">
          <w:footerReference w:type="default" r:id="rId8"/>
          <w:type w:val="continuous"/>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7A4F65" w:rsidRPr="007A4F65" w:rsidRDefault="007A4F65" w:rsidP="007A4F65">
      <w:pPr>
        <w:suppressAutoHyphens w:val="0"/>
        <w:overflowPunct/>
        <w:autoSpaceDE/>
        <w:autoSpaceDN/>
        <w:textAlignment w:val="auto"/>
        <w:rPr>
          <w:rFonts w:ascii="Times New Roman" w:hAnsi="Times New Roman"/>
          <w:kern w:val="0"/>
          <w:sz w:val="24"/>
          <w:szCs w:val="24"/>
        </w:rPr>
      </w:pPr>
      <w:r w:rsidRPr="007A4F65">
        <w:rPr>
          <w:rFonts w:ascii="Times New Roman" w:hAnsi="Times New Roman"/>
          <w:kern w:val="0"/>
          <w:sz w:val="24"/>
          <w:szCs w:val="24"/>
        </w:rPr>
        <w:t>Заведующий кафедрой Бизнес-информатики:</w:t>
      </w:r>
    </w:p>
    <w:p w:rsidR="007A4F65" w:rsidRPr="007A4F65" w:rsidRDefault="007A4F65" w:rsidP="007A4F65">
      <w:pPr>
        <w:suppressAutoHyphens w:val="0"/>
        <w:overflowPunct/>
        <w:autoSpaceDE/>
        <w:autoSpaceDN/>
        <w:textAlignment w:val="auto"/>
        <w:rPr>
          <w:rFonts w:ascii="Times New Roman" w:hAnsi="Times New Roman"/>
          <w:kern w:val="0"/>
          <w:sz w:val="24"/>
          <w:szCs w:val="24"/>
        </w:rPr>
      </w:pPr>
      <w:r w:rsidRPr="007A4F65">
        <w:rPr>
          <w:rFonts w:ascii="Times New Roman" w:hAnsi="Times New Roman"/>
          <w:kern w:val="0"/>
          <w:sz w:val="24"/>
          <w:szCs w:val="24"/>
        </w:rPr>
        <w:t xml:space="preserve">доктор военных наук, кандидат технических наук, профессор </w:t>
      </w:r>
    </w:p>
    <w:p w:rsidR="00827AFF" w:rsidRPr="00D17E5B" w:rsidRDefault="007A4F65" w:rsidP="007A4F65">
      <w:pPr>
        <w:suppressAutoHyphens w:val="0"/>
        <w:overflowPunct/>
        <w:autoSpaceDE/>
        <w:autoSpaceDN/>
        <w:textAlignment w:val="auto"/>
        <w:rPr>
          <w:rFonts w:ascii="Times New Roman" w:hAnsi="Times New Roman"/>
          <w:bCs/>
          <w:kern w:val="0"/>
          <w:sz w:val="24"/>
          <w:szCs w:val="24"/>
          <w:lang w:eastAsia="en-US"/>
        </w:rPr>
      </w:pPr>
      <w:r w:rsidRPr="007A4F65">
        <w:rPr>
          <w:rFonts w:ascii="Times New Roman" w:hAnsi="Times New Roman"/>
          <w:kern w:val="0"/>
          <w:sz w:val="24"/>
          <w:szCs w:val="24"/>
        </w:rPr>
        <w:t>Наумов Владимир Николаевич</w:t>
      </w: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spacing w:after="12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DC69ED">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546B8D" w:rsidRPr="00D17E5B">
        <w:rPr>
          <w:rFonts w:ascii="Times New Roman" w:hAnsi="Times New Roman"/>
          <w:sz w:val="24"/>
          <w:szCs w:val="24"/>
        </w:rPr>
        <w:t>дисциплина «История и философия науки» относится к базовым дисциплинам (Б1.Б.1)</w:t>
      </w:r>
      <w:bookmarkStart w:id="4" w:name="_Toc419652012"/>
      <w:r w:rsidR="00AF2AC0" w:rsidRPr="00D17E5B">
        <w:rPr>
          <w:rFonts w:ascii="Times New Roman" w:hAnsi="Times New Roman"/>
          <w:sz w:val="24"/>
          <w:szCs w:val="24"/>
        </w:rPr>
        <w:t xml:space="preserve"> учебного плана по направлению 40.06.01 Юриспруденция.</w:t>
      </w:r>
    </w:p>
    <w:bookmarkEnd w:id="4"/>
    <w:p w:rsidR="00546B8D" w:rsidRPr="00D17E5B" w:rsidRDefault="002F333F" w:rsidP="00DC69ED">
      <w:pPr>
        <w:suppressAutoHyphens w:val="0"/>
        <w:jc w:val="both"/>
        <w:rPr>
          <w:rFonts w:ascii="Times New Roman" w:hAnsi="Times New Roman"/>
          <w:sz w:val="24"/>
          <w:szCs w:val="24"/>
        </w:rPr>
      </w:pPr>
      <w:r w:rsidRPr="00D17E5B">
        <w:rPr>
          <w:rFonts w:ascii="Times New Roman" w:hAnsi="Times New Roman"/>
        </w:rPr>
        <w:t xml:space="preserve">Дисциплина реализуется параллельно с такими дисциплинами как: Теория </w:t>
      </w:r>
      <w:r w:rsidR="0083015C">
        <w:rPr>
          <w:rFonts w:ascii="Times New Roman" w:hAnsi="Times New Roman"/>
        </w:rPr>
        <w:t xml:space="preserve">и история </w:t>
      </w:r>
      <w:r w:rsidRPr="00D17E5B">
        <w:rPr>
          <w:rFonts w:ascii="Times New Roman" w:hAnsi="Times New Roman"/>
        </w:rPr>
        <w:t>государства и права</w:t>
      </w:r>
      <w:r w:rsidR="007A3286">
        <w:rPr>
          <w:rFonts w:ascii="Times New Roman" w:hAnsi="Times New Roman"/>
        </w:rPr>
        <w:t>,</w:t>
      </w:r>
      <w:r w:rsidR="007A3286" w:rsidRPr="007A3286">
        <w:t xml:space="preserve"> </w:t>
      </w:r>
      <w:r w:rsidR="007A3286" w:rsidRPr="007A3286">
        <w:rPr>
          <w:rFonts w:ascii="Times New Roman" w:hAnsi="Times New Roman"/>
          <w:sz w:val="24"/>
          <w:szCs w:val="24"/>
        </w:rPr>
        <w:t>Методология теоретических и экспериментальных исследований</w:t>
      </w:r>
      <w:r w:rsidR="007A3286">
        <w:rPr>
          <w:rFonts w:ascii="Times New Roman" w:hAnsi="Times New Roman"/>
          <w:sz w:val="24"/>
          <w:szCs w:val="24"/>
        </w:rPr>
        <w:t>.</w:t>
      </w:r>
    </w:p>
    <w:p w:rsidR="00546B8D" w:rsidRPr="00D17E5B" w:rsidRDefault="00546B8D" w:rsidP="00DC69ED">
      <w:pPr>
        <w:suppressAutoHyphens w:val="0"/>
        <w:ind w:left="36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(Э.Кассирер).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644BA5">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644BA5" w:rsidRDefault="00644BA5" w:rsidP="00DC69ED">
            <w:pPr>
              <w:suppressAutoHyphens w:val="0"/>
              <w:overflowPunct/>
              <w:adjustRightInd w:val="0"/>
              <w:jc w:val="both"/>
              <w:rPr>
                <w:rFonts w:ascii="Times New Roman" w:hAnsi="Times New Roman"/>
                <w:b/>
                <w:spacing w:val="-20"/>
                <w:kern w:val="0"/>
                <w:sz w:val="24"/>
                <w:szCs w:val="24"/>
                <w:lang w:eastAsia="en-US"/>
              </w:rPr>
            </w:pPr>
          </w:p>
          <w:p w:rsidR="00891D9E" w:rsidRPr="00D17E5B" w:rsidRDefault="00891D9E" w:rsidP="00644BA5">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644BA5" w:rsidRPr="00D17E5B" w:rsidRDefault="00891D9E" w:rsidP="00644BA5">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Проверяет умения и навыки работать с собранной информацией </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ook w:val="04A0" w:firstRow="1" w:lastRow="0" w:firstColumn="1" w:lastColumn="0" w:noHBand="0" w:noVBand="1"/>
      </w:tblPr>
      <w:tblGrid>
        <w:gridCol w:w="1565"/>
        <w:gridCol w:w="3443"/>
        <w:gridCol w:w="1655"/>
        <w:gridCol w:w="2800"/>
      </w:tblGrid>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критического анализа и оценки современных научных достижений</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z w:val="24"/>
                <w:szCs w:val="24"/>
                <w:lang w:eastAsia="en-US"/>
              </w:rPr>
              <w:t>.</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этические нормы в </w:t>
            </w:r>
            <w:r w:rsidRPr="00D17E5B">
              <w:rPr>
                <w:rStyle w:val="FontStyle44"/>
                <w:sz w:val="24"/>
                <w:szCs w:val="24"/>
                <w:lang w:eastAsia="en-US"/>
              </w:rPr>
              <w:t>профессиональной деятельности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способы планирования </w:t>
            </w:r>
            <w:r w:rsidRPr="00D17E5B">
              <w:rPr>
                <w:rStyle w:val="FontStyle44"/>
                <w:sz w:val="24"/>
                <w:szCs w:val="24"/>
                <w:lang w:eastAsia="en-US"/>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3734"/>
      </w:tblGrid>
      <w:tr w:rsidR="00AF2AC0" w:rsidRPr="00D17E5B" w:rsidTr="00757CD3">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критического анализа;</w:t>
            </w:r>
          </w:p>
          <w:p w:rsidR="00AF2AC0" w:rsidRPr="00D17E5B" w:rsidRDefault="00AF2AC0"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 знания современных научных достижений.</w:t>
            </w:r>
          </w:p>
          <w:p w:rsidR="00AF2AC0" w:rsidRPr="00D17E5B" w:rsidRDefault="00AF2AC0" w:rsidP="00DC69ED">
            <w:pPr>
              <w:suppressAutoHyphens w:val="0"/>
              <w:rPr>
                <w:rFonts w:ascii="Times New Roman" w:eastAsiaTheme="minorEastAsia" w:hAnsi="Times New Roman"/>
                <w:spacing w:val="-20"/>
                <w:sz w:val="24"/>
                <w:szCs w:val="24"/>
                <w:lang w:eastAsia="ja-JP"/>
              </w:rPr>
            </w:pP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творческая оценка;</w:t>
            </w:r>
          </w:p>
          <w:p w:rsidR="00AF2AC0" w:rsidRPr="00D17E5B" w:rsidRDefault="00AF2AC0" w:rsidP="00DC69ED">
            <w:pPr>
              <w:pStyle w:val="ae"/>
              <w:widowControl w:val="0"/>
              <w:suppressAutoHyphens w:val="0"/>
              <w:ind w:hanging="10"/>
              <w:rPr>
                <w:spacing w:val="-20"/>
              </w:rPr>
            </w:pPr>
            <w:r w:rsidRPr="00D17E5B">
              <w:rPr>
                <w:spacing w:val="-20"/>
              </w:rPr>
              <w:t>Уровень овладения мыслительными операциями (анализ, обобщение, сравнение, абстрагирование и т.д.);</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исследований</w:t>
            </w:r>
            <w:r w:rsidRPr="00D17E5B">
              <w:rPr>
                <w:rFonts w:ascii="Times New Roman" w:hAnsi="Times New Roman"/>
                <w:spacing w:val="-20"/>
                <w:sz w:val="24"/>
                <w:szCs w:val="24"/>
              </w:rPr>
              <w:t>;</w:t>
            </w:r>
          </w:p>
          <w:p w:rsidR="00AF2AC0" w:rsidRPr="00D17E5B" w:rsidRDefault="00AF2AC0" w:rsidP="00DC69ED">
            <w:pPr>
              <w:suppressAutoHyphens w:val="0"/>
              <w:jc w:val="both"/>
              <w:rPr>
                <w:rStyle w:val="FontStyle44"/>
                <w:sz w:val="24"/>
                <w:szCs w:val="24"/>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Style w:val="FontStyle44"/>
                <w:spacing w:val="-20"/>
                <w:sz w:val="24"/>
                <w:szCs w:val="24"/>
              </w:rPr>
              <w:t>знания в области истории и философии науки</w:t>
            </w:r>
            <w:r w:rsidRPr="00D17E5B">
              <w:rPr>
                <w:rFonts w:ascii="Times New Roman" w:hAnsi="Times New Roman"/>
                <w:spacing w:val="-20"/>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011A88"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suppressAutoHyphens w:val="0"/>
              <w:jc w:val="both"/>
              <w:rPr>
                <w:rFonts w:ascii="Times New Roman" w:hAnsi="Times New Roman"/>
              </w:rPr>
            </w:pPr>
            <w:r w:rsidRPr="00D17E5B">
              <w:rPr>
                <w:rFonts w:ascii="Times New Roman" w:hAnsi="Times New Roman"/>
              </w:rPr>
              <w:t xml:space="preserve"> знание </w:t>
            </w:r>
            <w:r w:rsidRPr="00D17E5B">
              <w:rPr>
                <w:rFonts w:ascii="Times New Roman" w:hAnsi="Times New Roman"/>
                <w:sz w:val="24"/>
                <w:szCs w:val="24"/>
              </w:rPr>
              <w:t xml:space="preserve">этических норм в </w:t>
            </w:r>
            <w:r w:rsidRPr="00D17E5B">
              <w:rPr>
                <w:rStyle w:val="FontStyle44"/>
                <w:sz w:val="24"/>
                <w:szCs w:val="24"/>
              </w:rPr>
              <w:t>профессиональной деятельности</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pStyle w:val="ae"/>
              <w:widowControl w:val="0"/>
              <w:suppressAutoHyphens w:val="0"/>
              <w:ind w:hanging="10"/>
              <w:jc w:val="both"/>
            </w:pPr>
            <w:r w:rsidRPr="00D17E5B">
              <w:t>Логичность и</w:t>
            </w:r>
            <w:r w:rsidR="00A73BB7" w:rsidRPr="00D17E5B">
              <w:t xml:space="preserve"> </w:t>
            </w:r>
            <w:r w:rsidRPr="00D17E5B">
              <w:t>обоснованность ответов;</w:t>
            </w:r>
          </w:p>
          <w:p w:rsidR="00011A88" w:rsidRPr="00D17E5B" w:rsidRDefault="00011A88" w:rsidP="00DC69ED">
            <w:pPr>
              <w:pStyle w:val="ae"/>
              <w:widowControl w:val="0"/>
              <w:suppressAutoHyphens w:val="0"/>
              <w:ind w:hanging="10"/>
              <w:jc w:val="both"/>
            </w:pPr>
            <w:r w:rsidRPr="00D17E5B">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Style w:val="FontStyle44"/>
                <w:rFonts w:eastAsiaTheme="minorEastAsia"/>
                <w:spacing w:val="-20"/>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профессионального развития;</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личностного развития.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критичность оценок;</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11.Философская система Демокрита,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18.Философия И.Канта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19.Философия Г.Гегеля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20.Философия Л.Фейербаха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(А.Шопенгауэр, Ф.Ницше).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46.Соотношение классического, неклассического и постнеклассического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64.Сциентизм и антисциентизм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644BA5">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науного знания и его значение для развития современных международных процессов.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644BA5" w:rsidRPr="00D632B9" w:rsidRDefault="00644BA5" w:rsidP="00644BA5">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C2006C" w:rsidRDefault="00C2006C" w:rsidP="00DC69ED">
      <w:pPr>
        <w:suppressAutoHyphens w:val="0"/>
        <w:jc w:val="both"/>
        <w:rPr>
          <w:rFonts w:ascii="Times New Roman" w:hAnsi="Times New Roman"/>
          <w:sz w:val="24"/>
          <w:szCs w:val="24"/>
        </w:rPr>
      </w:pPr>
    </w:p>
    <w:p w:rsidR="00644BA5" w:rsidRPr="004728B8" w:rsidRDefault="00644BA5" w:rsidP="00644BA5">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0"/>
        <w:tblW w:w="0" w:type="auto"/>
        <w:tblLook w:val="04A0" w:firstRow="1" w:lastRow="0" w:firstColumn="1" w:lastColumn="0" w:noHBand="0" w:noVBand="1"/>
      </w:tblPr>
      <w:tblGrid>
        <w:gridCol w:w="7797"/>
        <w:gridCol w:w="1774"/>
      </w:tblGrid>
      <w:tr w:rsidR="00644BA5" w:rsidRPr="004728B8" w:rsidTr="00C86A23">
        <w:tc>
          <w:tcPr>
            <w:tcW w:w="8046" w:type="dxa"/>
          </w:tcPr>
          <w:p w:rsidR="00644BA5" w:rsidRPr="004728B8" w:rsidRDefault="00644BA5" w:rsidP="00C86A23">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644BA5" w:rsidRPr="004728B8" w:rsidRDefault="00644BA5" w:rsidP="00C86A23">
            <w:pPr>
              <w:spacing w:line="288" w:lineRule="auto"/>
              <w:jc w:val="center"/>
              <w:rPr>
                <w:rFonts w:ascii="Times New Roman" w:hAnsi="Times New Roman"/>
                <w:b/>
                <w:bCs/>
              </w:rPr>
            </w:pPr>
            <w:r w:rsidRPr="004728B8">
              <w:rPr>
                <w:rFonts w:ascii="Times New Roman" w:hAnsi="Times New Roman"/>
                <w:b/>
              </w:rPr>
              <w:t>Оценка</w:t>
            </w:r>
          </w:p>
        </w:tc>
      </w:tr>
      <w:tr w:rsidR="00644BA5" w:rsidRPr="004728B8" w:rsidTr="00C86A23">
        <w:tc>
          <w:tcPr>
            <w:tcW w:w="8046" w:type="dxa"/>
          </w:tcPr>
          <w:p w:rsidR="00644BA5" w:rsidRPr="004728B8" w:rsidRDefault="00644BA5" w:rsidP="00C86A2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644BA5" w:rsidRPr="004728B8" w:rsidRDefault="00644BA5" w:rsidP="00C86A23">
            <w:pPr>
              <w:spacing w:line="288" w:lineRule="auto"/>
              <w:jc w:val="center"/>
              <w:rPr>
                <w:rFonts w:ascii="Times New Roman" w:hAnsi="Times New Roman"/>
                <w:b/>
                <w:bCs/>
              </w:rPr>
            </w:pPr>
            <w:r w:rsidRPr="004728B8">
              <w:rPr>
                <w:rFonts w:ascii="Times New Roman" w:hAnsi="Times New Roman"/>
                <w:b/>
                <w:bCs/>
              </w:rPr>
              <w:t>5</w:t>
            </w:r>
          </w:p>
        </w:tc>
      </w:tr>
      <w:tr w:rsidR="00644BA5" w:rsidRPr="004728B8" w:rsidTr="00C86A23">
        <w:tc>
          <w:tcPr>
            <w:tcW w:w="8046" w:type="dxa"/>
          </w:tcPr>
          <w:p w:rsidR="00644BA5" w:rsidRPr="004728B8" w:rsidRDefault="00644BA5" w:rsidP="00C86A2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644BA5" w:rsidRPr="004728B8" w:rsidRDefault="00644BA5" w:rsidP="00C86A23">
            <w:pPr>
              <w:spacing w:line="288" w:lineRule="auto"/>
              <w:jc w:val="center"/>
              <w:rPr>
                <w:rFonts w:ascii="Times New Roman" w:hAnsi="Times New Roman"/>
                <w:b/>
                <w:bCs/>
              </w:rPr>
            </w:pPr>
            <w:r w:rsidRPr="004728B8">
              <w:rPr>
                <w:rFonts w:ascii="Times New Roman" w:hAnsi="Times New Roman"/>
                <w:b/>
                <w:bCs/>
              </w:rPr>
              <w:t>4</w:t>
            </w:r>
          </w:p>
        </w:tc>
      </w:tr>
      <w:tr w:rsidR="00644BA5" w:rsidRPr="004728B8" w:rsidTr="00C86A23">
        <w:tc>
          <w:tcPr>
            <w:tcW w:w="8046" w:type="dxa"/>
          </w:tcPr>
          <w:p w:rsidR="00644BA5" w:rsidRPr="004728B8" w:rsidRDefault="00644BA5" w:rsidP="00C86A2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644BA5" w:rsidRPr="004728B8" w:rsidRDefault="00644BA5" w:rsidP="00C86A23">
            <w:pPr>
              <w:spacing w:line="288" w:lineRule="auto"/>
              <w:jc w:val="center"/>
              <w:rPr>
                <w:rFonts w:ascii="Times New Roman" w:hAnsi="Times New Roman"/>
                <w:b/>
                <w:bCs/>
              </w:rPr>
            </w:pPr>
            <w:r w:rsidRPr="004728B8">
              <w:rPr>
                <w:rFonts w:ascii="Times New Roman" w:hAnsi="Times New Roman"/>
                <w:b/>
                <w:bCs/>
              </w:rPr>
              <w:t>3</w:t>
            </w:r>
          </w:p>
        </w:tc>
      </w:tr>
      <w:tr w:rsidR="00644BA5" w:rsidRPr="004728B8" w:rsidTr="00C86A23">
        <w:tc>
          <w:tcPr>
            <w:tcW w:w="8046" w:type="dxa"/>
          </w:tcPr>
          <w:p w:rsidR="00644BA5" w:rsidRPr="004728B8" w:rsidRDefault="00644BA5" w:rsidP="00C86A23">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644BA5" w:rsidRPr="004728B8" w:rsidRDefault="00644BA5" w:rsidP="00C86A23">
            <w:pPr>
              <w:spacing w:line="288" w:lineRule="auto"/>
              <w:jc w:val="center"/>
              <w:rPr>
                <w:rFonts w:ascii="Times New Roman" w:hAnsi="Times New Roman"/>
                <w:b/>
                <w:bCs/>
              </w:rPr>
            </w:pPr>
            <w:r w:rsidRPr="004728B8">
              <w:rPr>
                <w:rFonts w:ascii="Times New Roman" w:hAnsi="Times New Roman"/>
                <w:b/>
                <w:bCs/>
              </w:rPr>
              <w:t>2</w:t>
            </w:r>
          </w:p>
        </w:tc>
      </w:tr>
    </w:tbl>
    <w:p w:rsidR="00644BA5" w:rsidRDefault="00644BA5" w:rsidP="00644BA5">
      <w:pPr>
        <w:jc w:val="both"/>
        <w:rPr>
          <w:rFonts w:ascii="Times New Roman" w:hAnsi="Times New Roman"/>
          <w:sz w:val="24"/>
        </w:rPr>
      </w:pPr>
    </w:p>
    <w:p w:rsidR="00644BA5" w:rsidRPr="00DC5C62" w:rsidRDefault="00644BA5" w:rsidP="00644BA5">
      <w:pPr>
        <w:jc w:val="both"/>
        <w:rPr>
          <w:rFonts w:ascii="Times New Roman" w:hAnsi="Times New Roman"/>
          <w:sz w:val="24"/>
        </w:rPr>
      </w:pPr>
      <w:r>
        <w:rPr>
          <w:rFonts w:ascii="Times New Roman" w:hAnsi="Times New Roman"/>
          <w:sz w:val="24"/>
        </w:rPr>
        <w:t xml:space="preserve">          </w:t>
      </w:r>
      <w:r w:rsidRPr="00644BA5">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644BA5" w:rsidRPr="00DC5C62" w:rsidRDefault="00644BA5" w:rsidP="00644BA5">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644BA5" w:rsidRPr="00DC5C62" w:rsidRDefault="00644BA5" w:rsidP="00644BA5">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644BA5" w:rsidRPr="00DC5C62" w:rsidRDefault="00644BA5" w:rsidP="00644BA5">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644BA5" w:rsidRDefault="00644BA5" w:rsidP="00644BA5">
      <w:pPr>
        <w:jc w:val="both"/>
        <w:rPr>
          <w:rFonts w:ascii="Times New Roman" w:hAnsi="Times New Roman"/>
          <w:sz w:val="24"/>
        </w:rPr>
      </w:pPr>
      <w:r w:rsidRPr="00DC5C62">
        <w:rPr>
          <w:rFonts w:ascii="Times New Roman" w:hAnsi="Times New Roman"/>
          <w:sz w:val="24"/>
        </w:rPr>
        <w:t>- уровень самостоятельного мышления.</w:t>
      </w:r>
    </w:p>
    <w:p w:rsidR="00644BA5" w:rsidRPr="00DC5C62" w:rsidRDefault="00644BA5" w:rsidP="00644BA5">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644BA5" w:rsidRPr="00DC5C62" w:rsidRDefault="00644BA5" w:rsidP="00644BA5">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644BA5" w:rsidRPr="00DC5C62" w:rsidRDefault="00644BA5" w:rsidP="00644BA5">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644BA5" w:rsidRPr="00DC5C62" w:rsidRDefault="00644BA5" w:rsidP="00644BA5">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644BA5" w:rsidRPr="00DC5C62" w:rsidRDefault="00644BA5" w:rsidP="00644BA5">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644BA5" w:rsidRPr="00DC5C62" w:rsidRDefault="00644BA5" w:rsidP="00644BA5">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644BA5" w:rsidRPr="00DC5C62" w:rsidRDefault="00644BA5" w:rsidP="00644BA5">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644BA5" w:rsidRPr="00DC5C62" w:rsidRDefault="00644BA5" w:rsidP="00644BA5">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w:t>
      </w:r>
      <w:r>
        <w:rPr>
          <w:rFonts w:ascii="Times New Roman" w:hAnsi="Times New Roman"/>
          <w:b/>
          <w:sz w:val="24"/>
        </w:rPr>
        <w:t>а</w:t>
      </w:r>
      <w:r w:rsidRPr="00DC5C62">
        <w:rPr>
          <w:rFonts w:ascii="Times New Roman" w:hAnsi="Times New Roman"/>
          <w:b/>
          <w:sz w:val="24"/>
        </w:rPr>
        <w:t xml:space="preserve"> «хорошо»</w:t>
      </w:r>
      <w:r w:rsidRPr="00DC5C62">
        <w:rPr>
          <w:rFonts w:ascii="Times New Roman" w:hAnsi="Times New Roman"/>
          <w:sz w:val="24"/>
        </w:rPr>
        <w:t xml:space="preserve"> выставляется в случае, если при устном ответе студент проявил</w:t>
      </w:r>
    </w:p>
    <w:p w:rsidR="00644BA5" w:rsidRPr="00DC5C62" w:rsidRDefault="00644BA5" w:rsidP="00644BA5">
      <w:pPr>
        <w:jc w:val="both"/>
        <w:rPr>
          <w:rFonts w:ascii="Times New Roman" w:hAnsi="Times New Roman"/>
          <w:sz w:val="24"/>
        </w:rPr>
      </w:pPr>
      <w:r w:rsidRPr="00DC5C62">
        <w:rPr>
          <w:rFonts w:ascii="Times New Roman" w:hAnsi="Times New Roman"/>
          <w:sz w:val="24"/>
        </w:rPr>
        <w:t>(показал):</w:t>
      </w:r>
    </w:p>
    <w:p w:rsidR="00644BA5" w:rsidRPr="00DC5C62" w:rsidRDefault="00644BA5" w:rsidP="00644BA5">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644BA5" w:rsidRPr="00DC5C62" w:rsidRDefault="00644BA5" w:rsidP="00644BA5">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644BA5" w:rsidRPr="00DC5C62" w:rsidRDefault="00644BA5" w:rsidP="00644BA5">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644BA5" w:rsidRPr="00DC5C62" w:rsidRDefault="00644BA5" w:rsidP="00644BA5">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644BA5" w:rsidRPr="00DC5C62" w:rsidRDefault="00644BA5" w:rsidP="00644BA5">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Оценк</w:t>
      </w:r>
      <w:r>
        <w:rPr>
          <w:rFonts w:ascii="Times New Roman" w:hAnsi="Times New Roman"/>
          <w:b/>
          <w:sz w:val="24"/>
        </w:rPr>
        <w:t>а</w:t>
      </w:r>
      <w:r w:rsidRPr="00DC5C62">
        <w:rPr>
          <w:rFonts w:ascii="Times New Roman" w:hAnsi="Times New Roman"/>
          <w:b/>
          <w:sz w:val="24"/>
        </w:rPr>
        <w:t xml:space="preserve">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644BA5" w:rsidRPr="00DC5C62" w:rsidRDefault="00644BA5" w:rsidP="00644BA5">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644BA5" w:rsidRPr="00DC5C62" w:rsidRDefault="00644BA5" w:rsidP="00644BA5">
      <w:pPr>
        <w:jc w:val="both"/>
        <w:rPr>
          <w:rFonts w:ascii="Times New Roman" w:hAnsi="Times New Roman"/>
          <w:sz w:val="24"/>
        </w:rPr>
      </w:pPr>
      <w:r w:rsidRPr="00DC5C62">
        <w:rPr>
          <w:rFonts w:ascii="Times New Roman" w:hAnsi="Times New Roman"/>
          <w:sz w:val="24"/>
        </w:rPr>
        <w:t>лекционного курса;</w:t>
      </w:r>
    </w:p>
    <w:p w:rsidR="00644BA5" w:rsidRPr="00DC5C62" w:rsidRDefault="00644BA5" w:rsidP="00644BA5">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644BA5" w:rsidRPr="00DC5C62" w:rsidRDefault="00644BA5" w:rsidP="00644BA5">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644BA5" w:rsidRPr="00DC5C62" w:rsidRDefault="00644BA5" w:rsidP="00644BA5">
      <w:pPr>
        <w:jc w:val="both"/>
        <w:rPr>
          <w:rFonts w:ascii="Times New Roman" w:hAnsi="Times New Roman"/>
          <w:sz w:val="24"/>
        </w:rPr>
      </w:pPr>
      <w:r>
        <w:rPr>
          <w:rFonts w:ascii="Times New Roman" w:hAnsi="Times New Roman"/>
          <w:b/>
          <w:sz w:val="24"/>
        </w:rPr>
        <w:t xml:space="preserve">           </w:t>
      </w:r>
      <w:r w:rsidRPr="00644BA5">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644BA5" w:rsidRPr="00DC5C62" w:rsidRDefault="00644BA5" w:rsidP="00644BA5">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644BA5" w:rsidRPr="00DC5C62" w:rsidRDefault="00644BA5" w:rsidP="00644BA5">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644BA5" w:rsidRPr="00DC5C62" w:rsidRDefault="00644BA5" w:rsidP="00644BA5">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644BA5" w:rsidRDefault="00644BA5" w:rsidP="00644BA5">
      <w:pPr>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951C1C" w:rsidRPr="00D17E5B" w:rsidRDefault="00951C1C" w:rsidP="00DC69ED">
      <w:pPr>
        <w:suppressAutoHyphens w:val="0"/>
        <w:jc w:val="both"/>
        <w:rPr>
          <w:rFonts w:ascii="Times New Roman" w:hAnsi="Times New Roman"/>
          <w:b/>
          <w:sz w:val="24"/>
          <w:szCs w:val="24"/>
        </w:rPr>
      </w:pPr>
      <w:bookmarkStart w:id="5" w:name="_GoBack"/>
      <w:bookmarkEnd w:id="5"/>
      <w:r w:rsidRPr="00D17E5B">
        <w:rPr>
          <w:rFonts w:ascii="Times New Roman" w:hAnsi="Times New Roman"/>
          <w:b/>
          <w:sz w:val="24"/>
          <w:szCs w:val="24"/>
        </w:rPr>
        <w:t>4.4. Методические материалы</w:t>
      </w:r>
    </w:p>
    <w:p w:rsidR="00891D9E" w:rsidRPr="00D17E5B" w:rsidRDefault="00425E16" w:rsidP="00DC69ED">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A40FE1" w:rsidRPr="00D17E5B" w:rsidRDefault="00A40FE1" w:rsidP="00DC69ED">
      <w:pPr>
        <w:suppressAutoHyphens w:val="0"/>
        <w:ind w:firstLine="709"/>
        <w:jc w:val="both"/>
        <w:rPr>
          <w:rFonts w:ascii="Times New Roman" w:hAnsi="Times New Roman"/>
          <w:lang w:val="de-DE"/>
        </w:rPr>
      </w:pPr>
      <w:r w:rsidRPr="00D17E5B">
        <w:rPr>
          <w:rFonts w:ascii="Times New Roman" w:hAnsi="Times New Roman"/>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представлений о 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- 2-е изд., стер. - Электрон. дан. - М. : Флинта [и др.], 2011. - 472 c. </w:t>
      </w:r>
      <w:hyperlink r:id="rId10"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r w:rsidRPr="00D17E5B">
          <w:rPr>
            <w:rStyle w:val="ab"/>
            <w:rFonts w:ascii="Times New Roman" w:hAnsi="Times New Roman"/>
            <w:sz w:val="24"/>
            <w:szCs w:val="24"/>
            <w:lang w:val="en-US"/>
          </w:rPr>
          <w:t>idp</w:t>
        </w:r>
        <w:r w:rsidRPr="00D17E5B">
          <w:rPr>
            <w:rStyle w:val="ab"/>
            <w:rFonts w:ascii="Times New Roman" w:hAnsi="Times New Roman"/>
            <w:sz w:val="24"/>
            <w:szCs w:val="24"/>
          </w:rPr>
          <w:t>.</w:t>
        </w:r>
        <w:r w:rsidRPr="00D17E5B">
          <w:rPr>
            <w:rStyle w:val="ab"/>
            <w:rFonts w:ascii="Times New Roman" w:hAnsi="Times New Roman"/>
            <w:sz w:val="24"/>
            <w:szCs w:val="24"/>
            <w:lang w:val="en-US"/>
          </w:rPr>
          <w:t>nwipa</w:t>
        </w:r>
        <w:r w:rsidRPr="00D17E5B">
          <w:rPr>
            <w:rStyle w:val="ab"/>
            <w:rFonts w:ascii="Times New Roman" w:hAnsi="Times New Roman"/>
            <w:sz w:val="24"/>
            <w:szCs w:val="24"/>
          </w:rPr>
          <w:t>.</w:t>
        </w:r>
        <w:r w:rsidRPr="00D17E5B">
          <w:rPr>
            <w:rStyle w:val="ab"/>
            <w:rFonts w:ascii="Times New Roman" w:hAnsi="Times New Roman"/>
            <w:sz w:val="24"/>
            <w:szCs w:val="24"/>
            <w:lang w:val="en-US"/>
          </w:rPr>
          <w:t>ru</w:t>
        </w:r>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r w:rsidRPr="00D17E5B">
          <w:rPr>
            <w:rStyle w:val="ab"/>
            <w:rFonts w:ascii="Times New Roman" w:hAnsi="Times New Roman"/>
            <w:sz w:val="24"/>
            <w:szCs w:val="24"/>
            <w:lang w:val="en-US"/>
          </w:rPr>
          <w:t>php</w:t>
        </w:r>
        <w:r w:rsidRPr="00D17E5B">
          <w:rPr>
            <w:rStyle w:val="ab"/>
            <w:rFonts w:ascii="Times New Roman" w:hAnsi="Times New Roman"/>
            <w:sz w:val="24"/>
            <w:szCs w:val="24"/>
          </w:rPr>
          <w:t>?</w:t>
        </w:r>
        <w:r w:rsidRPr="00D17E5B">
          <w:rPr>
            <w:rStyle w:val="ab"/>
            <w:rFonts w:ascii="Times New Roman" w:hAnsi="Times New Roman"/>
            <w:sz w:val="24"/>
            <w:szCs w:val="24"/>
            <w:lang w:val="en-US"/>
          </w:rPr>
          <w:t>productid</w:t>
        </w:r>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 пособие / Б. Н. Бессонов. - М. : Юрайт,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Булдаков, С.К. История и философия науки : учеб. пособие / С. К. Булдаков.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Коэн М., НагельЭ</w:t>
      </w:r>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Чернуха В.В. Мы и миры мироздания: новая физическая картина мира. М.: Ленанд,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E1" w:rsidRDefault="00F35BE1">
      <w:r>
        <w:separator/>
      </w:r>
    </w:p>
  </w:endnote>
  <w:endnote w:type="continuationSeparator" w:id="0">
    <w:p w:rsidR="00F35BE1" w:rsidRDefault="00F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3B" w:rsidRDefault="0091603B">
    <w:pPr>
      <w:pStyle w:val="af1"/>
      <w:jc w:val="right"/>
    </w:pPr>
  </w:p>
  <w:p w:rsidR="0091603B" w:rsidRDefault="0091603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E1" w:rsidRDefault="00F35BE1">
      <w:r>
        <w:separator/>
      </w:r>
    </w:p>
  </w:footnote>
  <w:footnote w:type="continuationSeparator" w:id="0">
    <w:p w:rsidR="00F35BE1" w:rsidRDefault="00F3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94" w:rsidRDefault="006F6F9B">
    <w:pPr>
      <w:pStyle w:val="a3"/>
      <w:jc w:val="center"/>
    </w:pPr>
    <w:r>
      <w:fldChar w:fldCharType="begin"/>
    </w:r>
    <w:r w:rsidR="00404894">
      <w:instrText xml:space="preserve"> PAGE </w:instrText>
    </w:r>
    <w:r>
      <w:fldChar w:fldCharType="separate"/>
    </w:r>
    <w:r w:rsidR="00644BA5">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94" w:rsidRDefault="006F6F9B">
    <w:pPr>
      <w:pStyle w:val="a3"/>
      <w:jc w:val="center"/>
    </w:pPr>
    <w:r>
      <w:fldChar w:fldCharType="begin"/>
    </w:r>
    <w:r w:rsidR="00404894">
      <w:instrText xml:space="preserve"> PAGE </w:instrText>
    </w:r>
    <w:r>
      <w:fldChar w:fldCharType="separate"/>
    </w:r>
    <w:r w:rsidR="00644BA5">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11A88"/>
    <w:rsid w:val="0005026D"/>
    <w:rsid w:val="00054C92"/>
    <w:rsid w:val="000A71FA"/>
    <w:rsid w:val="000C429A"/>
    <w:rsid w:val="000E5081"/>
    <w:rsid w:val="000E5F8D"/>
    <w:rsid w:val="000F5288"/>
    <w:rsid w:val="001002FD"/>
    <w:rsid w:val="0011268C"/>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44BA5"/>
    <w:rsid w:val="006458F7"/>
    <w:rsid w:val="00653B64"/>
    <w:rsid w:val="0067304C"/>
    <w:rsid w:val="00685F38"/>
    <w:rsid w:val="006F6F9B"/>
    <w:rsid w:val="00717AED"/>
    <w:rsid w:val="00747871"/>
    <w:rsid w:val="00757CD3"/>
    <w:rsid w:val="00772495"/>
    <w:rsid w:val="007A3286"/>
    <w:rsid w:val="007A4F65"/>
    <w:rsid w:val="007C2316"/>
    <w:rsid w:val="007F5E2B"/>
    <w:rsid w:val="00827AFF"/>
    <w:rsid w:val="0083015C"/>
    <w:rsid w:val="008309EA"/>
    <w:rsid w:val="00831530"/>
    <w:rsid w:val="00833723"/>
    <w:rsid w:val="00891D9E"/>
    <w:rsid w:val="0089540D"/>
    <w:rsid w:val="008977E7"/>
    <w:rsid w:val="008E15A8"/>
    <w:rsid w:val="008E482C"/>
    <w:rsid w:val="008E6998"/>
    <w:rsid w:val="00906E8B"/>
    <w:rsid w:val="0091603B"/>
    <w:rsid w:val="00916A7D"/>
    <w:rsid w:val="00931ACE"/>
    <w:rsid w:val="00951C1C"/>
    <w:rsid w:val="00967677"/>
    <w:rsid w:val="00992A4C"/>
    <w:rsid w:val="0099449F"/>
    <w:rsid w:val="009F284B"/>
    <w:rsid w:val="00A10816"/>
    <w:rsid w:val="00A1243C"/>
    <w:rsid w:val="00A13E3A"/>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35BE1"/>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7FD449"/>
  <w15:docId w15:val="{9B6042A6-D492-486A-BF70-689E8091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dp.nwipa.ru:2228/product.php?productid=23507&amp;cat=1"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D151-0B8C-4414-852E-7972D4D5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9393</Words>
  <Characters>53546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8</cp:revision>
  <cp:lastPrinted>2018-09-14T08:36:00Z</cp:lastPrinted>
  <dcterms:created xsi:type="dcterms:W3CDTF">2018-09-14T12:37:00Z</dcterms:created>
  <dcterms:modified xsi:type="dcterms:W3CDTF">2021-09-23T14:08:00Z</dcterms:modified>
</cp:coreProperties>
</file>