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C633A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</w:t>
      </w:r>
      <w:proofErr w:type="gramStart"/>
      <w:r w:rsidRPr="00204440">
        <w:rPr>
          <w:szCs w:val="24"/>
        </w:rPr>
        <w:t>2</w:t>
      </w:r>
      <w:proofErr w:type="gramEnd"/>
      <w:r w:rsidRPr="00204440">
        <w:rPr>
          <w:szCs w:val="24"/>
        </w:rPr>
        <w:t>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633AC" w:rsidP="001B58D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E92079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-201</w:t>
      </w:r>
      <w:r w:rsidR="00E92079">
        <w:rPr>
          <w:szCs w:val="24"/>
        </w:rPr>
        <w:t>8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E92079">
        <w:rPr>
          <w:szCs w:val="24"/>
        </w:rPr>
        <w:t>8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 xml:space="preserve">заведующий кафедрой </w:t>
      </w:r>
      <w:proofErr w:type="gramStart"/>
      <w:r w:rsidR="00E92079">
        <w:rPr>
          <w:szCs w:val="24"/>
        </w:rPr>
        <w:t>бизнес-информатики</w:t>
      </w:r>
      <w:proofErr w:type="gramEnd"/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204440">
              <w:rPr>
                <w:szCs w:val="24"/>
              </w:rPr>
              <w:t>ВО</w:t>
            </w:r>
            <w:proofErr w:type="gramEnd"/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</w:t>
            </w:r>
            <w:proofErr w:type="gramStart"/>
            <w:r w:rsidRPr="00204440">
              <w:rPr>
                <w:szCs w:val="24"/>
              </w:rPr>
              <w:t>дств дл</w:t>
            </w:r>
            <w:proofErr w:type="gramEnd"/>
            <w:r w:rsidRPr="00204440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2"/>
        <w:rPr>
          <w:rStyle w:val="10"/>
          <w:sz w:val="24"/>
          <w:szCs w:val="24"/>
        </w:rPr>
      </w:pPr>
      <w:r w:rsidRPr="00204440">
        <w:rPr>
          <w:szCs w:val="24"/>
        </w:rPr>
        <w:lastRenderedPageBreak/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6864A9" w:rsidRDefault="003B4249" w:rsidP="009A12E4">
      <w:pPr>
        <w:ind w:firstLine="567"/>
        <w:jc w:val="both"/>
        <w:rPr>
          <w:szCs w:val="24"/>
          <w:lang w:val="en-US"/>
        </w:rPr>
      </w:pPr>
      <w:r w:rsidRPr="00204440">
        <w:rPr>
          <w:szCs w:val="24"/>
        </w:rPr>
        <w:t xml:space="preserve">Вид практики – </w:t>
      </w:r>
      <w:proofErr w:type="gramStart"/>
      <w:r w:rsidR="009A12E4" w:rsidRPr="00204440">
        <w:rPr>
          <w:szCs w:val="24"/>
        </w:rPr>
        <w:t>педагогическая</w:t>
      </w:r>
      <w:proofErr w:type="gramEnd"/>
      <w:r w:rsidR="00E92079">
        <w:rPr>
          <w:szCs w:val="24"/>
        </w:rPr>
        <w:t xml:space="preserve">, </w:t>
      </w:r>
    </w:p>
    <w:p w:rsidR="006864A9" w:rsidRDefault="006864A9" w:rsidP="009A12E4">
      <w:pPr>
        <w:ind w:firstLine="567"/>
        <w:jc w:val="both"/>
        <w:rPr>
          <w:szCs w:val="24"/>
        </w:rPr>
      </w:pPr>
      <w:r>
        <w:rPr>
          <w:szCs w:val="24"/>
        </w:rPr>
        <w:t xml:space="preserve">Способ проведения – </w:t>
      </w:r>
      <w:proofErr w:type="gramStart"/>
      <w:r>
        <w:rPr>
          <w:szCs w:val="24"/>
        </w:rPr>
        <w:t>стационарная</w:t>
      </w:r>
      <w:proofErr w:type="gramEnd"/>
      <w:r>
        <w:rPr>
          <w:szCs w:val="24"/>
        </w:rPr>
        <w:t>/</w:t>
      </w:r>
      <w:r w:rsidRPr="006864A9">
        <w:rPr>
          <w:szCs w:val="24"/>
        </w:rPr>
        <w:t>выездная.</w:t>
      </w:r>
      <w:r w:rsidR="00E92079">
        <w:rPr>
          <w:szCs w:val="24"/>
        </w:rPr>
        <w:t xml:space="preserve"> </w:t>
      </w:r>
    </w:p>
    <w:p w:rsidR="006864A9" w:rsidRDefault="006864A9" w:rsidP="009A12E4">
      <w:pPr>
        <w:ind w:firstLine="567"/>
        <w:jc w:val="both"/>
        <w:rPr>
          <w:szCs w:val="24"/>
        </w:rPr>
      </w:pPr>
      <w:r>
        <w:rPr>
          <w:szCs w:val="24"/>
        </w:rPr>
        <w:t>Форма проведения - концентрированная</w:t>
      </w:r>
      <w:r w:rsidR="003B4249" w:rsidRPr="00204440">
        <w:rPr>
          <w:szCs w:val="24"/>
        </w:rPr>
        <w:t xml:space="preserve">. </w:t>
      </w:r>
    </w:p>
    <w:p w:rsidR="009A12E4" w:rsidRPr="00204440" w:rsidRDefault="003B4249" w:rsidP="009A12E4">
      <w:pPr>
        <w:ind w:firstLine="567"/>
        <w:jc w:val="both"/>
        <w:rPr>
          <w:szCs w:val="24"/>
        </w:rPr>
      </w:pPr>
      <w:bookmarkStart w:id="0" w:name="_GoBack"/>
      <w:bookmarkEnd w:id="0"/>
      <w:r w:rsidRPr="00204440">
        <w:rPr>
          <w:szCs w:val="24"/>
        </w:rPr>
        <w:t xml:space="preserve">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</w:t>
      </w:r>
      <w:proofErr w:type="gramStart"/>
      <w:r w:rsidR="009A12E4" w:rsidRPr="00204440">
        <w:rPr>
          <w:szCs w:val="24"/>
        </w:rPr>
        <w:t>со</w:t>
      </w:r>
      <w:proofErr w:type="gramEnd"/>
      <w:r w:rsidR="009A12E4" w:rsidRPr="00204440">
        <w:rPr>
          <w:szCs w:val="24"/>
        </w:rPr>
        <w:t xml:space="preserve">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 w:rsidRPr="00784B4C">
              <w:rPr>
                <w:szCs w:val="24"/>
              </w:rPr>
              <w:t>педагогико</w:t>
            </w:r>
            <w:proofErr w:type="spellEnd"/>
            <w:r w:rsidRPr="00784B4C">
              <w:rPr>
                <w:szCs w:val="24"/>
              </w:rPr>
              <w:t>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Cs w:val="24"/>
              </w:rPr>
            </w:pPr>
            <w:r w:rsidRPr="00204440">
              <w:rPr>
                <w:szCs w:val="24"/>
              </w:rPr>
              <w:t xml:space="preserve">(при наличии </w:t>
            </w:r>
            <w:proofErr w:type="spellStart"/>
            <w:r w:rsidRPr="00204440">
              <w:rPr>
                <w:szCs w:val="24"/>
              </w:rPr>
              <w:t>профстандарта</w:t>
            </w:r>
            <w:proofErr w:type="spellEnd"/>
            <w:r w:rsidRPr="00204440">
              <w:rPr>
                <w:szCs w:val="24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  <w:lang w:eastAsia="en-US"/>
              </w:rPr>
            </w:pPr>
            <w:r w:rsidRPr="00204440">
              <w:rPr>
                <w:b w:val="0"/>
                <w:szCs w:val="24"/>
              </w:rPr>
              <w:lastRenderedPageBreak/>
              <w:t>способности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порядок организации, планирования, ведения и обеспечения учебн</w:t>
            </w:r>
            <w:proofErr w:type="gramStart"/>
            <w:r w:rsidRPr="00204440">
              <w:rPr>
                <w:szCs w:val="24"/>
              </w:rPr>
              <w:t>о-</w:t>
            </w:r>
            <w:proofErr w:type="gramEnd"/>
            <w:r w:rsidRPr="00204440">
              <w:rPr>
                <w:szCs w:val="24"/>
              </w:rPr>
              <w:t xml:space="preserve">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color w:val="000000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Cs w:val="24"/>
              </w:rPr>
              <w:t>аспирант</w:t>
            </w:r>
            <w:r w:rsidRPr="00204440">
              <w:rPr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готовиться </w:t>
            </w:r>
            <w:r w:rsidRPr="00204440">
              <w:rPr>
                <w:color w:val="000000"/>
                <w:szCs w:val="24"/>
              </w:rPr>
              <w:t xml:space="preserve">к преподавательской </w:t>
            </w:r>
            <w:r w:rsidRPr="00204440">
              <w:rPr>
                <w:color w:val="000000"/>
                <w:szCs w:val="24"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 w:rsidRPr="00204440">
              <w:rPr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Владеть: навыками оценки уровня </w:t>
            </w:r>
            <w:proofErr w:type="spellStart"/>
            <w:r w:rsidRPr="00204440">
              <w:rPr>
                <w:szCs w:val="24"/>
              </w:rPr>
              <w:t>обученности</w:t>
            </w:r>
            <w:proofErr w:type="spellEnd"/>
            <w:r w:rsidRPr="00204440">
              <w:rPr>
                <w:szCs w:val="24"/>
              </w:rPr>
              <w:t>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lastRenderedPageBreak/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C633AC">
        <w:rPr>
          <w:rFonts w:eastAsia="Arial Unicode MS"/>
          <w:b/>
          <w:szCs w:val="24"/>
        </w:rPr>
        <w:t>216 часов</w:t>
      </w:r>
      <w:r w:rsidRPr="00204440">
        <w:rPr>
          <w:rFonts w:eastAsia="Arial Unicode MS"/>
          <w:szCs w:val="24"/>
        </w:rPr>
        <w:t xml:space="preserve">, </w:t>
      </w:r>
      <w:r w:rsidR="00C633AC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ЗЭ.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C633AC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 xml:space="preserve">Место практики в структуре ОП </w:t>
      </w:r>
      <w:proofErr w:type="gramStart"/>
      <w:r w:rsidR="00EB4742" w:rsidRPr="00204440">
        <w:rPr>
          <w:rFonts w:eastAsiaTheme="majorEastAsia" w:cstheme="majorBidi"/>
          <w:b/>
          <w:szCs w:val="24"/>
        </w:rPr>
        <w:t>ВО</w:t>
      </w:r>
      <w:proofErr w:type="gramEnd"/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>Б</w:t>
      </w:r>
      <w:proofErr w:type="gramStart"/>
      <w:r w:rsidR="00E209C9" w:rsidRPr="00E209C9">
        <w:rPr>
          <w:szCs w:val="24"/>
        </w:rPr>
        <w:t>2</w:t>
      </w:r>
      <w:proofErr w:type="gramEnd"/>
      <w:r w:rsidR="00E209C9" w:rsidRPr="00E209C9">
        <w:rPr>
          <w:szCs w:val="24"/>
        </w:rPr>
        <w:t xml:space="preserve">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</w:t>
      </w:r>
      <w:proofErr w:type="gramStart"/>
      <w:r w:rsidR="00E209C9" w:rsidRPr="00E209C9">
        <w:rPr>
          <w:szCs w:val="24"/>
        </w:rPr>
        <w:t>1</w:t>
      </w:r>
      <w:proofErr w:type="gramEnd"/>
      <w:r w:rsidR="00E209C9" w:rsidRPr="00E209C9">
        <w:rPr>
          <w:szCs w:val="24"/>
        </w:rPr>
        <w:t>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5E6D42">
        <w:rPr>
          <w:szCs w:val="24"/>
        </w:rPr>
        <w:t xml:space="preserve">студентами и магистрантами </w:t>
      </w:r>
      <w:r w:rsidRPr="00204440">
        <w:rPr>
          <w:szCs w:val="24"/>
        </w:rPr>
        <w:t xml:space="preserve">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</w:t>
      </w:r>
      <w:proofErr w:type="gramStart"/>
      <w:r w:rsidRPr="00204440">
        <w:rPr>
          <w:szCs w:val="24"/>
        </w:rPr>
        <w:t>о-</w:t>
      </w:r>
      <w:r w:rsidRPr="00204440">
        <w:rPr>
          <w:szCs w:val="24"/>
        </w:rPr>
        <w:softHyphen/>
      </w:r>
      <w:proofErr w:type="gramEnd"/>
      <w:r w:rsidRPr="00204440">
        <w:rPr>
          <w:szCs w:val="24"/>
        </w:rPr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</w:t>
      </w:r>
      <w:proofErr w:type="gramStart"/>
      <w:r w:rsidRPr="00204440">
        <w:rPr>
          <w:szCs w:val="24"/>
        </w:rPr>
        <w:t>со</w:t>
      </w:r>
      <w:proofErr w:type="gramEnd"/>
      <w:r w:rsidRPr="00204440">
        <w:rPr>
          <w:szCs w:val="24"/>
        </w:rPr>
        <w:t xml:space="preserve">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№ </w:t>
            </w:r>
            <w:proofErr w:type="gramStart"/>
            <w:r w:rsidRPr="00204440">
              <w:rPr>
                <w:szCs w:val="24"/>
              </w:rPr>
              <w:t>п</w:t>
            </w:r>
            <w:proofErr w:type="gramEnd"/>
            <w:r w:rsidRPr="00204440">
              <w:rPr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 Изучение содержания </w:t>
            </w:r>
            <w:r w:rsidRPr="00204440">
              <w:rPr>
                <w:iCs/>
                <w:color w:val="000000"/>
                <w:szCs w:val="24"/>
              </w:rPr>
              <w:lastRenderedPageBreak/>
              <w:t>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proofErr w:type="spellStart"/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proofErr w:type="spellEnd"/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</w:t>
            </w:r>
            <w:r w:rsidRPr="00204440">
              <w:rPr>
                <w:szCs w:val="24"/>
              </w:rPr>
              <w:lastRenderedPageBreak/>
              <w:t>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</w:t>
      </w:r>
      <w:proofErr w:type="spellStart"/>
      <w:r w:rsidRPr="00204440">
        <w:rPr>
          <w:szCs w:val="24"/>
        </w:rPr>
        <w:t>ак.ч</w:t>
      </w:r>
      <w:proofErr w:type="spellEnd"/>
      <w:r w:rsidRPr="00204440">
        <w:rPr>
          <w:szCs w:val="24"/>
        </w:rPr>
        <w:t xml:space="preserve">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</w:t>
      </w:r>
      <w:proofErr w:type="gramStart"/>
      <w:r w:rsidRPr="00204440">
        <w:rPr>
          <w:szCs w:val="24"/>
        </w:rPr>
        <w:t>предоставить отчет</w:t>
      </w:r>
      <w:proofErr w:type="gramEnd"/>
      <w:r w:rsidRPr="00204440">
        <w:rPr>
          <w:szCs w:val="24"/>
        </w:rPr>
        <w:t xml:space="preserve">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</w:t>
      </w:r>
      <w:proofErr w:type="gramStart"/>
      <w:r w:rsidRPr="00204440">
        <w:rPr>
          <w:szCs w:val="24"/>
        </w:rPr>
        <w:t>отчитывается о</w:t>
      </w:r>
      <w:proofErr w:type="gramEnd"/>
      <w:r w:rsidRPr="00204440">
        <w:rPr>
          <w:szCs w:val="24"/>
        </w:rPr>
        <w:t xml:space="preserve">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204440">
        <w:rPr>
          <w:rStyle w:val="10"/>
          <w:sz w:val="24"/>
          <w:szCs w:val="24"/>
        </w:rPr>
        <w:t>дств пр</w:t>
      </w:r>
      <w:proofErr w:type="gramEnd"/>
      <w:r w:rsidRPr="00204440">
        <w:rPr>
          <w:rStyle w:val="10"/>
          <w:sz w:val="24"/>
          <w:szCs w:val="24"/>
        </w:rPr>
        <w:t>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lastRenderedPageBreak/>
        <w:t xml:space="preserve">6.1. Формы и методы текущего контроля успеваемости </w:t>
      </w:r>
      <w:proofErr w:type="gramStart"/>
      <w:r w:rsidRPr="00204440">
        <w:rPr>
          <w:sz w:val="24"/>
          <w:szCs w:val="24"/>
        </w:rPr>
        <w:t>обучающихся</w:t>
      </w:r>
      <w:proofErr w:type="gramEnd"/>
      <w:r w:rsidRPr="00204440">
        <w:rPr>
          <w:sz w:val="24"/>
          <w:szCs w:val="24"/>
        </w:rPr>
        <w:t xml:space="preserve">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204440">
        <w:rPr>
          <w:szCs w:val="24"/>
        </w:rPr>
        <w:t>обучающихся</w:t>
      </w:r>
      <w:proofErr w:type="gramEnd"/>
      <w:r w:rsidRPr="00204440">
        <w:rPr>
          <w:szCs w:val="24"/>
        </w:rPr>
        <w:t>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04440">
        <w:rPr>
          <w:bCs/>
          <w:szCs w:val="24"/>
        </w:rPr>
        <w:t>Нормативные правовые основы подготовки и аттестации научно-педагогических кадров высшей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ФГОС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lastRenderedPageBreak/>
        <w:t>КТ ВПП: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Структура, содержание и порядок разработки основной образовательной программы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FD5100" w:rsidRPr="00204440" w:rsidRDefault="00FD5100" w:rsidP="00FD5100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204440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204440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</w:t>
      </w:r>
      <w:r w:rsidR="00E92079">
        <w:rPr>
          <w:rFonts w:eastAsia="Times New Roman"/>
          <w:bCs/>
          <w:color w:val="000000"/>
          <w:szCs w:val="24"/>
          <w:lang w:eastAsia="ru-RU"/>
        </w:rPr>
        <w:t>аспирант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204440">
        <w:rPr>
          <w:rFonts w:eastAsia="Times New Roman"/>
          <w:bCs/>
          <w:szCs w:val="24"/>
          <w:lang w:eastAsia="ru-RU"/>
        </w:rPr>
        <w:t xml:space="preserve">с </w:t>
      </w:r>
      <w:r w:rsidRPr="00204440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204440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</w:t>
      </w:r>
      <w:r w:rsidR="00E92079">
        <w:rPr>
          <w:rFonts w:eastAsia="Times New Roman"/>
          <w:bCs/>
          <w:color w:val="000000"/>
          <w:szCs w:val="24"/>
          <w:lang w:eastAsia="ru-RU"/>
        </w:rPr>
        <w:t>аспирант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204440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FD5100" w:rsidRPr="00204440" w:rsidRDefault="00FD5100" w:rsidP="00FD5100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204440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FD5100" w:rsidRPr="00204440" w:rsidRDefault="00FD5100" w:rsidP="00FD5100">
      <w:pPr>
        <w:widowControl w:val="0"/>
        <w:spacing w:line="360" w:lineRule="auto"/>
        <w:ind w:firstLine="397"/>
        <w:jc w:val="right"/>
        <w:rPr>
          <w:rFonts w:eastAsia="Times New Roman"/>
          <w:b/>
          <w:i/>
          <w:snapToGrid w:val="0"/>
          <w:szCs w:val="24"/>
          <w:lang w:eastAsia="ru-RU"/>
        </w:rPr>
      </w:pPr>
      <w:r w:rsidRPr="00204440">
        <w:rPr>
          <w:rFonts w:eastAsia="Times New Roman"/>
          <w:b/>
          <w:i/>
          <w:snapToGrid w:val="0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6"/>
        <w:gridCol w:w="3152"/>
      </w:tblGrid>
      <w:tr w:rsidR="00FD5100" w:rsidRPr="00204440" w:rsidTr="00184E8D">
        <w:tc>
          <w:tcPr>
            <w:tcW w:w="3284" w:type="dxa"/>
            <w:vMerge w:val="restart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Экзаменационная оценка</w:t>
            </w:r>
          </w:p>
        </w:tc>
      </w:tr>
      <w:tr w:rsidR="00FD5100" w:rsidRPr="00204440" w:rsidTr="00184E8D">
        <w:tc>
          <w:tcPr>
            <w:tcW w:w="3284" w:type="dxa"/>
            <w:vMerge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буквой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В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С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D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EX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6.3.</w:t>
      </w:r>
      <w:r w:rsidRPr="00204440">
        <w:rPr>
          <w:rFonts w:cs="Calibri"/>
          <w:szCs w:val="24"/>
        </w:rPr>
        <w:t xml:space="preserve"> </w:t>
      </w:r>
      <w:r w:rsidRPr="00204440">
        <w:rPr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 xml:space="preserve">1Подласый И.П. Педагогика. Том 1. Теоретическая педагогика: учебник:.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Подласый</w:t>
      </w:r>
      <w:proofErr w:type="spellEnd"/>
      <w:r w:rsidRPr="00204440">
        <w:rPr>
          <w:bCs/>
          <w:szCs w:val="24"/>
          <w:lang w:bidi="ru-RU"/>
        </w:rPr>
        <w:t xml:space="preserve"> И.П. Педагогика. Том 2. Практическая педагогика: учебник: Рекомендовано УМО.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lastRenderedPageBreak/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10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1" w:history="1">
        <w:r w:rsidRPr="00204440">
          <w:rPr>
            <w:szCs w:val="24"/>
            <w:u w:val="single"/>
          </w:rPr>
          <w:t xml:space="preserve">Электронная коммерция: Учебное пособие, 3-е изд., </w:t>
        </w:r>
        <w:proofErr w:type="spellStart"/>
        <w:r w:rsidRPr="00204440">
          <w:rPr>
            <w:szCs w:val="24"/>
            <w:u w:val="single"/>
          </w:rPr>
          <w:t>перераб</w:t>
        </w:r>
        <w:proofErr w:type="spellEnd"/>
        <w:r w:rsidRPr="00204440">
          <w:rPr>
            <w:szCs w:val="24"/>
            <w:u w:val="single"/>
          </w:rPr>
          <w:t>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2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</w:t>
      </w:r>
      <w:proofErr w:type="spellStart"/>
      <w:r w:rsidRPr="00204440">
        <w:rPr>
          <w:szCs w:val="24"/>
        </w:rPr>
        <w:t>Юнити</w:t>
      </w:r>
      <w:proofErr w:type="spellEnd"/>
      <w:r w:rsidRPr="00204440">
        <w:rPr>
          <w:szCs w:val="24"/>
        </w:rPr>
        <w:t>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3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 xml:space="preserve">Пискунов А.И. История педагогики и образования. : учебник. 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Сластенин</w:t>
      </w:r>
      <w:proofErr w:type="spellEnd"/>
      <w:r w:rsidRPr="00204440">
        <w:rPr>
          <w:bCs/>
          <w:szCs w:val="24"/>
          <w:lang w:bidi="ru-RU"/>
        </w:rPr>
        <w:t xml:space="preserve">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6864A9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4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</w:t>
      </w:r>
      <w:proofErr w:type="spellStart"/>
      <w:r w:rsidR="00041537" w:rsidRPr="00204440">
        <w:rPr>
          <w:szCs w:val="24"/>
        </w:rPr>
        <w:t>Ильенковой</w:t>
      </w:r>
      <w:proofErr w:type="spellEnd"/>
      <w:r w:rsidR="00041537" w:rsidRPr="00204440">
        <w:rPr>
          <w:szCs w:val="24"/>
        </w:rPr>
        <w:t xml:space="preserve"> М. : </w:t>
      </w:r>
      <w:proofErr w:type="spellStart"/>
      <w:r w:rsidR="00041537" w:rsidRPr="00204440">
        <w:rPr>
          <w:szCs w:val="24"/>
        </w:rPr>
        <w:t>Юнити</w:t>
      </w:r>
      <w:proofErr w:type="spellEnd"/>
      <w:r w:rsidR="00041537" w:rsidRPr="00204440">
        <w:rPr>
          <w:szCs w:val="24"/>
        </w:rPr>
        <w:t xml:space="preserve">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Хотяшева</w:t>
      </w:r>
      <w:proofErr w:type="spellEnd"/>
      <w:r w:rsidRPr="00204440">
        <w:rPr>
          <w:szCs w:val="24"/>
        </w:rPr>
        <w:t xml:space="preserve"> О. М.  </w:t>
      </w:r>
      <w:hyperlink r:id="rId15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6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7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</w:t>
      </w:r>
      <w:proofErr w:type="spellStart"/>
      <w:r w:rsidRPr="00204440">
        <w:rPr>
          <w:szCs w:val="24"/>
        </w:rPr>
        <w:t>Калянов</w:t>
      </w:r>
      <w:proofErr w:type="spellEnd"/>
      <w:r w:rsidRPr="00204440">
        <w:rPr>
          <w:szCs w:val="24"/>
        </w:rPr>
        <w:t xml:space="preserve"> Г. Н., Попов Ю. Н., </w:t>
      </w:r>
      <w:proofErr w:type="spellStart"/>
      <w:r w:rsidRPr="00204440">
        <w:rPr>
          <w:szCs w:val="24"/>
        </w:rPr>
        <w:t>Титовский</w:t>
      </w:r>
      <w:proofErr w:type="spellEnd"/>
      <w:r w:rsidRPr="00204440">
        <w:rPr>
          <w:szCs w:val="24"/>
        </w:rPr>
        <w:t xml:space="preserve"> И. Н.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9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20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Синяева</w:t>
      </w:r>
      <w:proofErr w:type="spellEnd"/>
      <w:r w:rsidRPr="00204440">
        <w:rPr>
          <w:szCs w:val="24"/>
        </w:rPr>
        <w:t xml:space="preserve"> И.М., Земляк В.В., </w:t>
      </w:r>
      <w:proofErr w:type="spellStart"/>
      <w:r w:rsidRPr="00204440">
        <w:rPr>
          <w:szCs w:val="24"/>
        </w:rPr>
        <w:t>Синяев</w:t>
      </w:r>
      <w:proofErr w:type="spellEnd"/>
      <w:r w:rsidRPr="00204440">
        <w:rPr>
          <w:szCs w:val="24"/>
        </w:rPr>
        <w:t xml:space="preserve"> В.В.  </w:t>
      </w:r>
      <w:hyperlink r:id="rId21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2" w:history="1">
        <w:r w:rsidRPr="00204440">
          <w:rPr>
            <w:rStyle w:val="a5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c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</w:t>
      </w:r>
      <w:proofErr w:type="spellStart"/>
      <w:r w:rsidRPr="00204440">
        <w:rPr>
          <w:szCs w:val="24"/>
        </w:rPr>
        <w:t>Схиртладзе</w:t>
      </w:r>
      <w:proofErr w:type="spellEnd"/>
      <w:r w:rsidRPr="00204440">
        <w:rPr>
          <w:szCs w:val="24"/>
        </w:rPr>
        <w:t xml:space="preserve"> А. Г. </w:t>
      </w:r>
      <w:hyperlink r:id="rId23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4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Петренко С. А., Курбатов В. </w:t>
      </w:r>
      <w:proofErr w:type="spellStart"/>
      <w:r w:rsidRPr="00204440">
        <w:rPr>
          <w:szCs w:val="24"/>
        </w:rPr>
        <w:t>А.</w:t>
      </w:r>
      <w:hyperlink r:id="rId25" w:history="1">
        <w:r w:rsidRPr="00204440">
          <w:rPr>
            <w:color w:val="0000FF"/>
            <w:szCs w:val="24"/>
            <w:u w:val="single"/>
          </w:rPr>
          <w:t>Политики</w:t>
        </w:r>
        <w:proofErr w:type="spellEnd"/>
        <w:r w:rsidRPr="00204440">
          <w:rPr>
            <w:color w:val="0000FF"/>
            <w:szCs w:val="24"/>
            <w:u w:val="single"/>
          </w:rPr>
          <w:t xml:space="preserve">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6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6864A9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Культин</w:t>
      </w:r>
      <w:proofErr w:type="spellEnd"/>
      <w:r w:rsidR="00041537" w:rsidRPr="00204440">
        <w:rPr>
          <w:szCs w:val="24"/>
        </w:rPr>
        <w:t xml:space="preserve"> Н., Сурина А., </w:t>
      </w:r>
      <w:proofErr w:type="spellStart"/>
      <w:r w:rsidR="00041537" w:rsidRPr="00204440">
        <w:rPr>
          <w:szCs w:val="24"/>
        </w:rPr>
        <w:t>Туккель</w:t>
      </w:r>
      <w:proofErr w:type="spellEnd"/>
      <w:r w:rsidR="00041537" w:rsidRPr="00204440">
        <w:rPr>
          <w:szCs w:val="24"/>
        </w:rPr>
        <w:t xml:space="preserve"> И. СПб. : БХВ-Петербург, 2011, 416 с. </w:t>
      </w:r>
    </w:p>
    <w:p w:rsidR="00041537" w:rsidRPr="00204440" w:rsidRDefault="006864A9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Горбашко</w:t>
      </w:r>
      <w:proofErr w:type="spellEnd"/>
      <w:r w:rsidR="00041537" w:rsidRPr="00204440">
        <w:rPr>
          <w:szCs w:val="24"/>
        </w:rPr>
        <w:t xml:space="preserve"> Е. А. СПб. : Питер, 2010, 384 с. </w:t>
      </w:r>
    </w:p>
    <w:p w:rsidR="00041537" w:rsidRPr="00204440" w:rsidRDefault="006864A9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6864A9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30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1" w:history="1">
        <w:r w:rsidRPr="00204440">
          <w:rPr>
            <w:rStyle w:val="a5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lastRenderedPageBreak/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- библиотечной системы (ЭБС)  «</w:t>
      </w:r>
      <w:proofErr w:type="spellStart"/>
      <w:r w:rsidRPr="00204440">
        <w:rPr>
          <w:szCs w:val="24"/>
        </w:rPr>
        <w:t>Айбукс</w:t>
      </w:r>
      <w:proofErr w:type="spellEnd"/>
      <w:r w:rsidRPr="00204440">
        <w:rPr>
          <w:szCs w:val="24"/>
        </w:rPr>
        <w:t xml:space="preserve">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204440">
        <w:rPr>
          <w:szCs w:val="24"/>
        </w:rPr>
        <w:t>Ист</w:t>
      </w:r>
      <w:proofErr w:type="spellEnd"/>
      <w:r w:rsidRPr="00204440">
        <w:rPr>
          <w:szCs w:val="24"/>
        </w:rPr>
        <w:t xml:space="preserve">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EBSCO </w:t>
      </w:r>
      <w:proofErr w:type="spellStart"/>
      <w:r w:rsidRPr="00204440">
        <w:rPr>
          <w:szCs w:val="24"/>
        </w:rPr>
        <w:t>Publishing</w:t>
      </w:r>
      <w:proofErr w:type="spellEnd"/>
      <w:r w:rsidRPr="00204440">
        <w:rPr>
          <w:szCs w:val="24"/>
        </w:rPr>
        <w:t xml:space="preserve"> - доступ к </w:t>
      </w:r>
      <w:proofErr w:type="spellStart"/>
      <w:r w:rsidRPr="00204440">
        <w:rPr>
          <w:szCs w:val="24"/>
        </w:rPr>
        <w:t>мультидисциплинарным</w:t>
      </w:r>
      <w:proofErr w:type="spellEnd"/>
      <w:r w:rsidRPr="00204440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proofErr w:type="spellStart"/>
      <w:r w:rsidRPr="00204440">
        <w:rPr>
          <w:szCs w:val="24"/>
        </w:rPr>
        <w:t>Emerald</w:t>
      </w:r>
      <w:proofErr w:type="spellEnd"/>
      <w:r w:rsidRPr="00204440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C633A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C633A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C633A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</w:r>
      <w:r w:rsidRPr="00204440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C633A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proofErr w:type="spellStart"/>
      <w:r w:rsidRPr="00204440">
        <w:rPr>
          <w:szCs w:val="24"/>
        </w:rPr>
        <w:t>Зав.кафедрой</w:t>
      </w:r>
      <w:proofErr w:type="spellEnd"/>
      <w:r w:rsidRPr="00204440">
        <w:rPr>
          <w:szCs w:val="24"/>
        </w:rPr>
        <w:t xml:space="preserve">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lastRenderedPageBreak/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_____ курса </w:t>
      </w:r>
      <w:proofErr w:type="spellStart"/>
      <w:r w:rsidRPr="00204440">
        <w:rPr>
          <w:szCs w:val="24"/>
        </w:rPr>
        <w:t>подготовки__________________факультета</w:t>
      </w:r>
      <w:proofErr w:type="spellEnd"/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C5" w:rsidRDefault="002F7EC5" w:rsidP="00640102">
      <w:r>
        <w:separator/>
      </w:r>
    </w:p>
  </w:endnote>
  <w:endnote w:type="continuationSeparator" w:id="0">
    <w:p w:rsidR="002F7EC5" w:rsidRDefault="002F7EC5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C633AC" w:rsidRDefault="00C633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A9">
          <w:rPr>
            <w:noProof/>
          </w:rPr>
          <w:t>4</w:t>
        </w:r>
        <w:r>
          <w:fldChar w:fldCharType="end"/>
        </w:r>
      </w:p>
    </w:sdtContent>
  </w:sdt>
  <w:p w:rsidR="00C633AC" w:rsidRDefault="00C63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C5" w:rsidRDefault="002F7EC5" w:rsidP="00640102">
      <w:r>
        <w:separator/>
      </w:r>
    </w:p>
  </w:footnote>
  <w:footnote w:type="continuationSeparator" w:id="0">
    <w:p w:rsidR="002F7EC5" w:rsidRDefault="002F7EC5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C"/>
    <w:rsid w:val="00041537"/>
    <w:rsid w:val="00066289"/>
    <w:rsid w:val="0007462D"/>
    <w:rsid w:val="000F6AE9"/>
    <w:rsid w:val="001024AF"/>
    <w:rsid w:val="00146643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82A"/>
    <w:rsid w:val="002F7EC5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F353F"/>
    <w:rsid w:val="00531CCC"/>
    <w:rsid w:val="00532978"/>
    <w:rsid w:val="005330F6"/>
    <w:rsid w:val="005B512E"/>
    <w:rsid w:val="005C76F3"/>
    <w:rsid w:val="005D625C"/>
    <w:rsid w:val="005E1628"/>
    <w:rsid w:val="005E6D42"/>
    <w:rsid w:val="005F3BD7"/>
    <w:rsid w:val="0060463A"/>
    <w:rsid w:val="00640102"/>
    <w:rsid w:val="00683DEB"/>
    <w:rsid w:val="006864A9"/>
    <w:rsid w:val="006B29F3"/>
    <w:rsid w:val="006C5367"/>
    <w:rsid w:val="006C66AD"/>
    <w:rsid w:val="006E39F7"/>
    <w:rsid w:val="007061A5"/>
    <w:rsid w:val="00721CB9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A12E4"/>
    <w:rsid w:val="009A177C"/>
    <w:rsid w:val="009A6B8B"/>
    <w:rsid w:val="009B4E1F"/>
    <w:rsid w:val="00A67510"/>
    <w:rsid w:val="00A95A9A"/>
    <w:rsid w:val="00AA5760"/>
    <w:rsid w:val="00AD1A33"/>
    <w:rsid w:val="00B224F6"/>
    <w:rsid w:val="00B46D27"/>
    <w:rsid w:val="00BA5DD5"/>
    <w:rsid w:val="00BB7848"/>
    <w:rsid w:val="00BB78EC"/>
    <w:rsid w:val="00BD68F5"/>
    <w:rsid w:val="00C13341"/>
    <w:rsid w:val="00C612D4"/>
    <w:rsid w:val="00C633AC"/>
    <w:rsid w:val="00C82664"/>
    <w:rsid w:val="00CD2555"/>
    <w:rsid w:val="00CE1EB0"/>
    <w:rsid w:val="00D0047B"/>
    <w:rsid w:val="00D06059"/>
    <w:rsid w:val="00D2643A"/>
    <w:rsid w:val="00DA6D1C"/>
    <w:rsid w:val="00DD7DF9"/>
    <w:rsid w:val="00E209C9"/>
    <w:rsid w:val="00E625ED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p.nwipa.ru:2228/reading.php?productid=25005" TargetMode="External"/><Relationship Id="rId18" Type="http://schemas.openxmlformats.org/officeDocument/2006/relationships/hyperlink" Target="http://idp.nwipa.ru:2228/reading.php?productid=22450" TargetMode="External"/><Relationship Id="rId26" Type="http://schemas.openxmlformats.org/officeDocument/2006/relationships/hyperlink" Target="http://idp.nwipa.ru:2228/reading.php?productid=218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339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dp.nwipa.ru:2228/reading.php?productid=27015" TargetMode="External"/><Relationship Id="rId17" Type="http://schemas.openxmlformats.org/officeDocument/2006/relationships/hyperlink" Target="http://idp.nwipa.ru:2228/reading.php?productid=23403" TargetMode="External"/><Relationship Id="rId25" Type="http://schemas.openxmlformats.org/officeDocument/2006/relationships/hyperlink" Target="http://idp.nwipa.ru:2228/reading.php?productid=2245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15" TargetMode="External"/><Relationship Id="rId20" Type="http://schemas.openxmlformats.org/officeDocument/2006/relationships/hyperlink" Target="http://idp.nwipa.ru:2228/reading.php?productid=26272" TargetMode="External"/><Relationship Id="rId29" Type="http://schemas.openxmlformats.org/officeDocument/2006/relationships/hyperlink" Target="http://idp.nwipa.ru:2228/reading.php?productid=24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228/reading.php?productid=23413" TargetMode="External"/><Relationship Id="rId24" Type="http://schemas.openxmlformats.org/officeDocument/2006/relationships/hyperlink" Target="http://idp.nwipa.ru:2228/reading.php?productid=2162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dp.nwipa.ru:2228/reading.php?productid=21656" TargetMode="External"/><Relationship Id="rId23" Type="http://schemas.openxmlformats.org/officeDocument/2006/relationships/hyperlink" Target="http://idp.nwipa.ru:2228/reading.php?productid=21823" TargetMode="External"/><Relationship Id="rId28" Type="http://schemas.openxmlformats.org/officeDocument/2006/relationships/hyperlink" Target="http://idp.nwipa.ru:2228/reading.php?productid=21838" TargetMode="External"/><Relationship Id="rId10" Type="http://schemas.openxmlformats.org/officeDocument/2006/relationships/hyperlink" Target="http://idp.nwipa.ru:2228/reading.php?productid=21969" TargetMode="External"/><Relationship Id="rId19" Type="http://schemas.openxmlformats.org/officeDocument/2006/relationships/hyperlink" Target="http://idp.nwipa.ru:2228/reading.php?productid=23351" TargetMode="External"/><Relationship Id="rId31" Type="http://schemas.openxmlformats.org/officeDocument/2006/relationships/hyperlink" Target="http://nwapa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4703" TargetMode="External"/><Relationship Id="rId22" Type="http://schemas.openxmlformats.org/officeDocument/2006/relationships/hyperlink" Target="http://idp.nwipa.ru:2228/reading.php?productid=22426" TargetMode="External"/><Relationship Id="rId27" Type="http://schemas.openxmlformats.org/officeDocument/2006/relationships/hyperlink" Target="http://idp.nwipa.ru:2228/reading.php?productid=22651" TargetMode="External"/><Relationship Id="rId30" Type="http://schemas.openxmlformats.org/officeDocument/2006/relationships/hyperlink" Target="http://idp.nwipa.ru:2228/reading.php?productid=2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4D9D-5019-4C44-9CF5-CC0C3EF2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Курилович Александра Дмитриевна</cp:lastModifiedBy>
  <cp:revision>3</cp:revision>
  <dcterms:created xsi:type="dcterms:W3CDTF">2018-09-08T19:04:00Z</dcterms:created>
  <dcterms:modified xsi:type="dcterms:W3CDTF">2018-11-08T11:49:00Z</dcterms:modified>
</cp:coreProperties>
</file>