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25115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– филиал РАНХиГС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251157" w:rsidRPr="00251157" w:rsidTr="002511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4D53FF" w:rsidRPr="007810E8" w:rsidRDefault="004D53FF" w:rsidP="004D53FF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4D53FF" w:rsidRPr="00640F02" w:rsidRDefault="004D53FF" w:rsidP="004D53FF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251157" w:rsidRPr="00251157" w:rsidRDefault="00251157" w:rsidP="0025115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РАБОЧАЯ ПРОГРАММА ПРАКТИКИ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</w:p>
    <w:p w:rsidR="00251157" w:rsidRDefault="00D34112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E3" w:rsidRPr="00B42CE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практика</w:t>
      </w:r>
    </w:p>
    <w:p w:rsidR="00B42CE3" w:rsidRP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41.06.01 «Политические науки и регионоведение»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направленность «Политические проблемы международной системы, глобального и регионального развития»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 xml:space="preserve">Квалификация – Исследователь. Преподаватель-исследователь 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Очная/заочная формы обучения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4D53FF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Год набора - 20</w:t>
      </w:r>
      <w:r w:rsidR="00761BD3">
        <w:rPr>
          <w:rFonts w:ascii="Times New Roman" w:eastAsia="Times New Roman" w:hAnsi="Times New Roman" w:cs="Calibri"/>
          <w:sz w:val="24"/>
          <w:szCs w:val="20"/>
        </w:rPr>
        <w:t>2</w:t>
      </w:r>
      <w:r w:rsidR="00761BD3" w:rsidRPr="004D53FF">
        <w:rPr>
          <w:rFonts w:ascii="Times New Roman" w:eastAsia="Times New Roman" w:hAnsi="Times New Roman" w:cs="Calibri"/>
          <w:sz w:val="24"/>
          <w:szCs w:val="20"/>
        </w:rPr>
        <w:t>1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D34112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761BD3" w:rsidRPr="004D53FF">
        <w:rPr>
          <w:rFonts w:ascii="Times New Roman" w:eastAsia="Times New Roman" w:hAnsi="Times New Roman" w:cs="Calibri"/>
          <w:sz w:val="24"/>
          <w:szCs w:val="20"/>
        </w:rPr>
        <w:t>20</w:t>
      </w:r>
      <w:r w:rsidR="00B42CE3" w:rsidRPr="00B42CE3">
        <w:rPr>
          <w:rFonts w:ascii="Times New Roman" w:eastAsia="Times New Roman" w:hAnsi="Times New Roman" w:cs="Calibri"/>
          <w:sz w:val="24"/>
          <w:szCs w:val="20"/>
        </w:rPr>
        <w:t xml:space="preserve"> г.</w:t>
      </w:r>
    </w:p>
    <w:p w:rsidR="00251157" w:rsidRDefault="00251157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Pr="00251157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>к.и.н., доцент кафедры международных отношений М.А. Буланакова</w:t>
      </w: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 международных отношений Д.Е. Любина </w:t>
      </w: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D34112" w:rsidRPr="00D34112" w:rsidRDefault="00D34112" w:rsidP="00D3411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3411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34112" w:rsidRPr="00D34112" w:rsidRDefault="00D34112" w:rsidP="00D3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251157" w:rsidRPr="00251157" w:rsidRDefault="00251157" w:rsidP="00251157">
      <w:pPr>
        <w:tabs>
          <w:tab w:val="center" w:pos="2694"/>
          <w:tab w:val="left" w:pos="3544"/>
          <w:tab w:val="left" w:pos="3969"/>
        </w:tabs>
        <w:spacing w:after="0" w:line="240" w:lineRule="auto"/>
        <w:ind w:right="538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7"/>
          <w:pgSz w:w="11906" w:h="16838"/>
          <w:pgMar w:top="1134" w:right="850" w:bottom="1134" w:left="1701" w:header="720" w:footer="720" w:gutter="0"/>
          <w:cols w:space="720"/>
        </w:sect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5.</w:t>
            </w:r>
            <w:r w:rsidRPr="002511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Формы отчетности по практике …………………………………………………….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jc w:val="both"/>
            </w:pPr>
            <w:r w:rsidRPr="00251157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средств промежуточной аттестации по практике…………………………………….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7.3.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7.4.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</w:rPr>
              <w:t>7.5. Иные ресурсы……………………………………….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</w:tbl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251157" w:rsidRPr="00251157" w:rsidRDefault="00251157" w:rsidP="0025115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Вид практики, способы и формы ее проведения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contextualSpacing/>
        <w:textAlignment w:val="baseline"/>
        <w:rPr>
          <w:rFonts w:ascii="Calibri" w:eastAsia="Calibri" w:hAnsi="Calibri" w:cs="Calibri"/>
        </w:rPr>
      </w:pPr>
    </w:p>
    <w:p w:rsidR="00251157" w:rsidRPr="00251157" w:rsidRDefault="00D34112" w:rsidP="00251157">
      <w:pPr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проводится для </w:t>
      </w:r>
      <w:r w:rsid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подготовки аспирантов к различным видам академической деятельности, участию в научных конференциях, написанию научных статей, работе в исследовательском коллективе и пр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Является обязательной.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преддипломной практики устанавливается в соответствии с ФГОС.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проведения производственной практики: стационарная.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51157" w:rsidRPr="00251157" w:rsidRDefault="00B42CE3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может проводиться в структурных подразделениях организации.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Б2.В.05(П) Преддипломной практики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Б2.В.01(П)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овладение следующими компетенциями: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251157" w:rsidRPr="00251157" w:rsidTr="0025115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342"/>
        <w:gridCol w:w="4953"/>
      </w:tblGrid>
      <w:tr w:rsidR="00251157" w:rsidRPr="00251157" w:rsidTr="00B42CE3">
        <w:tc>
          <w:tcPr>
            <w:tcW w:w="2233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342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3" w:type="dxa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знает нормы профессиональной этики социально-гуманитарных наук и педагогики, основы юридической обеспеченности исследовательской деятельности;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знает положения о правовых и этических нормах в профессиональной и социальной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проявлять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умеет раскрывать полное содержание соотношения этики и права в профессиональной исследовательской и педагогической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исходя из перспектив развития области профессиональной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приемами составления выборки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Имеет навыки организации коллективного исследования</w:t>
            </w:r>
          </w:p>
        </w:tc>
      </w:tr>
    </w:tbl>
    <w:p w:rsidR="00251157" w:rsidRPr="00251157" w:rsidRDefault="00251157" w:rsidP="00251157">
      <w:pPr>
        <w:tabs>
          <w:tab w:val="left" w:pos="159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Calibri" w:eastAsia="Times New Roman" w:hAnsi="Calibri" w:cs="Times New Roman"/>
        </w:rPr>
        <w:tab/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3.Объем и место практики в структуре образовательной программы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/>
          <w:iCs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51157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27"/>
        <w:gridCol w:w="871"/>
        <w:gridCol w:w="1202"/>
        <w:gridCol w:w="1609"/>
        <w:gridCol w:w="735"/>
        <w:gridCol w:w="1513"/>
      </w:tblGrid>
      <w:tr w:rsidR="00251157" w:rsidRPr="00251157" w:rsidTr="00251157">
        <w:trPr>
          <w:trHeight w:val="500"/>
        </w:trPr>
        <w:tc>
          <w:tcPr>
            <w:tcW w:w="1306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5" w:type="dxa"/>
            <w:gridSpan w:val="2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1157" w:rsidRPr="00251157" w:rsidTr="00251157">
        <w:trPr>
          <w:trHeight w:val="150"/>
        </w:trPr>
        <w:tc>
          <w:tcPr>
            <w:tcW w:w="1306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51157" w:rsidRPr="00251157" w:rsidTr="00251157">
        <w:trPr>
          <w:trHeight w:val="500"/>
        </w:trPr>
        <w:tc>
          <w:tcPr>
            <w:tcW w:w="1306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Б2.В.01(П)</w:t>
            </w:r>
          </w:p>
        </w:tc>
        <w:tc>
          <w:tcPr>
            <w:tcW w:w="1475" w:type="dxa"/>
          </w:tcPr>
          <w:p w:rsidR="00251157" w:rsidRPr="0041256D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192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51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262 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академ/</w:t>
            </w:r>
          </w:p>
          <w:p w:rsidR="0041256D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015" w:type="dxa"/>
          </w:tcPr>
          <w:p w:rsidR="00251157" w:rsidRPr="00251157" w:rsidRDefault="00D34112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251157" w:rsidRPr="00251157" w:rsidRDefault="00251157" w:rsidP="00D341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D341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практики в структуре ОП ВО: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1256D" w:rsidRPr="0041256D" w:rsidRDefault="00A34DA0" w:rsidP="0041256D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454112817"/>
      <w:bookmarkStart w:id="1" w:name="_Toc454112888"/>
      <w:bookmarkStart w:id="2" w:name="_Toc454113073"/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 в «Блок 2. Практики» учебного плана подготовки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41.06.01 «Политические науки и регионоведение»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«Политические проблемы международной системы, глобального и регионального развития»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57" w:rsidRPr="00251157" w:rsidRDefault="00A34DA0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факультете международных отношений проводится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(очная форма) /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(заочная форма).</w:t>
      </w:r>
      <w:bookmarkEnd w:id="0"/>
      <w:bookmarkEnd w:id="1"/>
      <w:bookmarkEnd w:id="2"/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реализуется в тесной взаимосвязи со следующими дисциплинами:</w:t>
      </w: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Научно-исследовательская практика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завершается Зачетом в форме устного собеседования и на основе предоставления письменного отчета по установленной форме.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Б2.В.01(П) Научно-исследовательск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Этапы (периоды)</w:t>
            </w:r>
          </w:p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практики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9C241A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1.Организационное собрание и к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онсультации руководителя практики и научных руководителей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аспирантов</w:t>
            </w:r>
          </w:p>
          <w:p w:rsidR="00251157" w:rsidRPr="00251157" w:rsidRDefault="009C241A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.Утверждение индивидуальных заданий по прохождению практики (для каждого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аспиранта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51157" w:rsidRPr="00251157" w:rsidRDefault="00251157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Прохождение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9C241A" w:rsidRDefault="00251157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>Сбор информации для проведения диссертационного исследования / написания научной статьи</w:t>
            </w:r>
          </w:p>
          <w:p w:rsid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 xml:space="preserve">Подготовка научного доклада </w:t>
            </w:r>
          </w:p>
          <w:p w:rsidR="009C241A" w:rsidRP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проектной / исследовательской группе </w:t>
            </w:r>
          </w:p>
          <w:p w:rsidR="00251157" w:rsidRPr="00251157" w:rsidRDefault="00251157" w:rsidP="0025115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157" w:rsidRPr="00251157" w:rsidRDefault="00251157" w:rsidP="009C241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Подведение итогов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Публичная апробация результатов исследования </w:t>
            </w:r>
          </w:p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>1.</w:t>
            </w:r>
            <w:r w:rsidRPr="00251157">
              <w:rPr>
                <w:rFonts w:ascii="Times New Roman" w:hAnsi="Times New Roman"/>
                <w:sz w:val="20"/>
                <w:szCs w:val="20"/>
              </w:rPr>
              <w:tab/>
              <w:t>Выступление на конференции / подготовка к публикации научной статьи</w:t>
            </w:r>
          </w:p>
          <w:p w:rsidR="00251157" w:rsidRPr="00251157" w:rsidRDefault="00251157" w:rsidP="009C241A">
            <w:pPr>
              <w:spacing w:after="0" w:line="240" w:lineRule="auto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41A">
              <w:rPr>
                <w:rFonts w:ascii="Times New Roman" w:hAnsi="Times New Roman"/>
                <w:sz w:val="20"/>
                <w:szCs w:val="20"/>
              </w:rPr>
              <w:t>2</w:t>
            </w:r>
            <w:r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отчетной документации и сдача зачета</w:t>
            </w:r>
          </w:p>
        </w:tc>
      </w:tr>
    </w:tbl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Научно-исследовательская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9C241A" w:rsidRPr="009C24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Научно-исследовательской практики </w:t>
      </w:r>
      <w:r w:rsidR="009C241A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письменный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 о прохождении практики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Microsoft Word (или аналога) через 1,5 интервал, с применением 14 размера шрифта Times New Roman.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, где отражено название и индекс практики,  темы диссертационного исследования,  фамилия имя отчество исполнителя, название направления подготовки и группы, место и сроки преддипломной практики (</w:t>
      </w:r>
      <w:r w:rsidRPr="0025115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научной дискуссии (круглый стол).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Default="00251157" w:rsidP="00A21C6C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</w:t>
      </w:r>
      <w:r w:rsidR="009F7921"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темы научного исследования аспиранта,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места прохождения практики; работы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аспиранта в конкретной проектной группе.</w:t>
      </w:r>
    </w:p>
    <w:p w:rsidR="009F7921" w:rsidRPr="00251157" w:rsidRDefault="009F7921" w:rsidP="009F7921">
      <w:pPr>
        <w:tabs>
          <w:tab w:val="left" w:pos="2436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7921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1157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готовности научной статьи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а к публикации.</w:t>
      </w:r>
    </w:p>
    <w:p w:rsidR="009F7921" w:rsidRPr="00251157" w:rsidRDefault="009F7921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Рукопись статьи, научного доклада или опубликованные материалы, а также программа научного мероприятия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51157">
        <w:rPr>
          <w:rFonts w:ascii="Times New Roman" w:eastAsia="Times New Roman" w:hAnsi="Times New Roman" w:cs="Times New Roman"/>
          <w:iCs/>
        </w:rPr>
        <w:t xml:space="preserve">В ходе практики руководитель может запрашивать черновики текста </w:t>
      </w:r>
      <w:r w:rsidR="009F7921">
        <w:rPr>
          <w:rFonts w:ascii="Times New Roman" w:eastAsia="Times New Roman" w:hAnsi="Times New Roman" w:cs="Times New Roman"/>
          <w:iCs/>
        </w:rPr>
        <w:t xml:space="preserve">научной статьи </w:t>
      </w:r>
      <w:r w:rsidRPr="00251157">
        <w:rPr>
          <w:rFonts w:ascii="Times New Roman" w:eastAsia="Times New Roman" w:hAnsi="Times New Roman" w:cs="Times New Roman"/>
          <w:iCs/>
        </w:rPr>
        <w:t xml:space="preserve">обучающегося, план и текст </w:t>
      </w:r>
      <w:r w:rsidR="009F7921">
        <w:rPr>
          <w:rFonts w:ascii="Times New Roman" w:eastAsia="Times New Roman" w:hAnsi="Times New Roman" w:cs="Times New Roman"/>
          <w:iCs/>
        </w:rPr>
        <w:t>доклада</w:t>
      </w:r>
      <w:r w:rsidRPr="00251157">
        <w:rPr>
          <w:rFonts w:ascii="Times New Roman" w:eastAsia="Times New Roman" w:hAnsi="Times New Roman" w:cs="Times New Roman"/>
          <w:iCs/>
        </w:rPr>
        <w:t xml:space="preserve"> для проведения текущего контроля.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Зачета с применением следующих методов (средств): 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устное собеседование на основе отчета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аспиранта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- обсуждение научных результатов, полученных обучающимся в ходе написания научной статьи;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обучающимся 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аспирантуры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Специальные оценочные средства при проведении текущего контроля успеваемости при прохождении обучающимися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>не применяются.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251157" w:rsidRPr="00251157" w:rsidRDefault="00251157" w:rsidP="0025115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A13878" w:rsidRPr="00251157" w:rsidTr="00EA331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34" w:type="dxa"/>
        <w:tblInd w:w="-41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00"/>
        <w:gridCol w:w="3129"/>
        <w:gridCol w:w="4205"/>
      </w:tblGrid>
      <w:tr w:rsidR="00B42CE3" w:rsidRPr="00FC2A5D" w:rsidTr="0041256D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3C60FE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A13878" w:rsidRPr="00134F2F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134F2F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tabs>
          <w:tab w:val="left" w:pos="663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357EA" w:rsidRPr="007F436E" w:rsidRDefault="001357EA" w:rsidP="001357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357EA" w:rsidRPr="00ED4F78" w:rsidRDefault="001357EA" w:rsidP="0013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B44" w:rsidRPr="00D632B9" w:rsidRDefault="00E05B44" w:rsidP="00E05B44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51157" w:rsidRPr="00251157" w:rsidRDefault="00251157" w:rsidP="00251157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E05B44" w:rsidRDefault="00E05B44" w:rsidP="00E05B44">
      <w:pPr>
        <w:pStyle w:val="a9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1F8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7"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выставляется в случае, если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E05B44" w:rsidRDefault="00E05B44" w:rsidP="00E05B44">
      <w:pPr>
        <w:pStyle w:val="a9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51F87">
        <w:rPr>
          <w:rFonts w:ascii="Times New Roman" w:hAnsi="Times New Roman"/>
          <w:b/>
          <w:sz w:val="24"/>
          <w:szCs w:val="24"/>
        </w:rPr>
        <w:t>«Не зачтено»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ставится в случае, когда</w:t>
      </w:r>
      <w:r>
        <w:rPr>
          <w:rFonts w:ascii="Times New Roman" w:hAnsi="Times New Roman"/>
          <w:sz w:val="24"/>
          <w:szCs w:val="24"/>
        </w:rPr>
        <w:t xml:space="preserve"> 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251157">
        <w:rPr>
          <w:rFonts w:ascii="Calibri" w:eastAsia="Times New Roman" w:hAnsi="Calibri" w:cs="Calibri"/>
          <w:b/>
          <w:bCs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729"/>
        <w:gridCol w:w="3558"/>
      </w:tblGrid>
      <w:tr w:rsidR="00E05B44" w:rsidRPr="00251157" w:rsidTr="00E05B44">
        <w:trPr>
          <w:trHeight w:val="379"/>
        </w:trPr>
        <w:tc>
          <w:tcPr>
            <w:tcW w:w="1162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bookmarkStart w:id="3" w:name="_GoBack"/>
            <w:bookmarkEnd w:id="3"/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Оценочные средства</w:t>
            </w:r>
          </w:p>
        </w:tc>
        <w:tc>
          <w:tcPr>
            <w:tcW w:w="196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Показатели оценивания</w:t>
            </w:r>
          </w:p>
        </w:tc>
        <w:tc>
          <w:tcPr>
            <w:tcW w:w="187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Критерии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оценивания</w:t>
            </w:r>
          </w:p>
        </w:tc>
      </w:tr>
      <w:tr w:rsidR="00E05B44" w:rsidRPr="00251157" w:rsidTr="00E05B44">
        <w:trPr>
          <w:trHeight w:val="1143"/>
        </w:trPr>
        <w:tc>
          <w:tcPr>
            <w:tcW w:w="1162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Научная статья</w:t>
            </w:r>
          </w:p>
        </w:tc>
        <w:tc>
          <w:tcPr>
            <w:tcW w:w="196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Обоснование актуальности исследования, методологии исследования, постановка задач и обзор историографической базы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Обоснованные выводы исследования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Соблюдение правил оформления и библиографического описания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Отзыв научного руководителя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87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Полнота  обоснования исследовательской цели и актуальности, эффективность  и соответствие задачам исследования методологии исследования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Доказанность и глубина обоснования выводов исследования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Полное соответствие нормативам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Положительный характер отзыва научного руководителя, рецензия для издателя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справки из издательства или наличие опубликованной статьи</w:t>
            </w:r>
          </w:p>
        </w:tc>
      </w:tr>
      <w:tr w:rsidR="00E05B44" w:rsidRPr="00251157" w:rsidTr="00E05B44">
        <w:trPr>
          <w:trHeight w:val="1143"/>
        </w:trPr>
        <w:tc>
          <w:tcPr>
            <w:tcW w:w="1162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Апробация материалов диссертационного исследования</w:t>
            </w:r>
          </w:p>
        </w:tc>
        <w:tc>
          <w:tcPr>
            <w:tcW w:w="196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Участие в работе научных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коллективов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 по проблемам исследования</w:t>
            </w: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</w:tr>
      <w:tr w:rsidR="00E05B44" w:rsidRPr="00251157" w:rsidTr="00E05B44">
        <w:trPr>
          <w:trHeight w:val="1143"/>
        </w:trPr>
        <w:tc>
          <w:tcPr>
            <w:tcW w:w="1162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Отчет по практике</w:t>
            </w:r>
          </w:p>
        </w:tc>
        <w:tc>
          <w:tcPr>
            <w:tcW w:w="196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Предоставление Отчета и полного пакета документов, подтверждающих прохождение практики</w:t>
            </w:r>
          </w:p>
        </w:tc>
        <w:tc>
          <w:tcPr>
            <w:tcW w:w="1874" w:type="pct"/>
            <w:shd w:val="clear" w:color="auto" w:fill="auto"/>
          </w:tcPr>
          <w:p w:rsidR="00E05B44" w:rsidRPr="00251157" w:rsidRDefault="00E05B44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 Руководитель практики изучает формы отчетности о практике обучающегося и выставляет соответствующие баллы (см. таблицу выше). Наличие научной статьи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и научного доклада 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также является обязательным условием прохождения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Аксарина, Наталья Александровна. Технология подготовки научного текста : учеб.-метод. пособие / Н. А. Аксарина ; М-во образования и науки Рос. Федерации, Федер. агентство по образованию ФГБОУ ВПО "Тюмен. гос. ун-т", Ин-т филологии и журналистики, Каф. рус. яз.. - М. : Флинта [и др.], 2014. - 109, [1]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Алексеева, Татьяна Алексеевна. Внешнеполитический процесс : сравнительный анализ : [для бакалавров] : учеб. пособие для студентов вузов, обучающихся по направлениям подготовки "Междунар. отношения" и "Зарубежное регионоведение" / Т. А. Алексеева, А. А. Казанцев ; Моск. гос. ин- т междунар. отношений (Ун-т) МИД России. - М. : Аспект Пресс, 2012. - 223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Голицына, Ольга Леонидовна. Информационные системы и технологии : [учеб. пособие для вузов по направлению 230700 "Прикладная информатика"] / О. Л. Голицына, Н. В. Максимов, И. И. Попов. - М. : ФОРУМ, 2014. - 399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"Междунар. отношения" / Ю. В. Дубинин ; Моск. гос. ин-т междунар. отношений (Ун-т) М-ва иностр. дел Рос. Федерации. - 4-е изд., расш. и доп. - М. : Междунар. отношения, 2012. - 318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Зарайченко, В. Е. Этикет государственного служащего : [учеб. пособие для студентов вузов и колледжей, обучающихся по специальностям "Гос. и муниципальное упр.", "Менеджмент орг." : соответствует Федер. гос. образовательному стандарту (третьего поколения)] / В. Е. Зарайченко. - 4-е изд., перераб. и доп. - Ростов н/Д : Феникс, 2013. - 445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Мегатренды : Основные траектории эволюции мирового порядка в ХХI веке : [учебник для студентов вузов, обучающихся по направлениям подготовки (специальностям) "Междунар. отношения" и "Зарубежное регионоведение" / А. А. Байков и др.] ; под ред. Т. А. Шаклеиной, А. А. Байкова ; Научно-образоват. форум по междунар. отношениям ; Моск. гос. ин-т междунар. отношений (Ун-т) МИД России. - М. : Аспект Пресс, 2013. - 448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Насырова, Г. Н. Английский в средствах массовой информации = Mass Media English : [учеб. пособие для вузов по направлениям подготовки "Междунар. отношения", "Зарубеж. регионоведение", "Реклама и связи с общественностью"] / Г. Н. Насырова ; Дипломат. акад. МИД России. - М. : Восточная книга, 2011. - 255 c.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Алешин, Леонид Ильич. Обеспечение автоматизированных библиотечных информационных систем (АБИС) : [учеб. пособие] / Л. И. Алешин. - М. : ФОРУМ, 2015. - 430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Гуменский А. Управление международной информацией // Международные процессы,  № 1,  Том 008, 2010, C. 31-43.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Добреньков В.И., Осипова Н.Г. Методология и методы научной работы. –М.: Книжный дом «Университет», 2009.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Кулаичев, Алексей Павлович. Методы и средства комплексного анализа данных : учеб. пособие [для вузов по дисциплинам "Прикладная статистика" и "Информатика"] / А. П. Кулаичев. - 4-е изд., перераб. и доп. - М. : ФОРУМ, 2014. - 511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Медушевский Н.А. Аналитические центры в политическом процессе: американская модель «фабрик мысли» и ее функционирование за пределами США // Полития. 2010, №1. С.118-132.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финансов; под ред. В. Г. Минашкина. - М. : ЮНИТИ, 2015. - 391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Методы и технологии деятельности зарубежных и российских исследовательских центров, а также исследовательских структур и ВУЗов, получающих финансирование из зарубежных источников: анализ и обобщение» / Российский институт стратегических исследований. – М., 2014. –URL: http://www.riss.ru/analitika/2797-rossijskie-issledovatelskie-tsentry-i-vuzy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8.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Олейник А.М. Сбор, агрегирование и обработка качественных данных // Социологические исследования,  № 5, Май  2014, C. 121-131.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Райзберг, Борис Абрамович. Диссертация и ученая степень: новые положения о защите и диссертационных советах с авт. коммент. ( пособие для соискателей) / Б. А. Райзберг. - 11-е изд., доп. и перераб. - М. : ИНФРА-М, 2014. - 251, [1]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Сукиасян, Эдуард Рубенович. Введение в современную каталогизацию : пособие для проф. образования / Э. Р. Сукиасян. - М. : Литера, 2012. - 315 c. 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Сунгуров А.Ю. Экспертное сообщество, фабрики мысли и власть: опыт трех регионов // Полис, 2014, №2. С. 72-87.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Трофимов О.И. Некоторые аспекты правового регулирования оборота баз данных// Государство и право,  № 10, Октябрь  2008, C. 60-68.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Трудовой кодекс Российской Федерации" от 30.12.2001 N 197-ФЗ (ред. от 03.07.2016) (с изм. и доп., вступ. в силу с 01.01.2017)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251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251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251157" w:rsidRPr="00251157" w:rsidRDefault="00251157" w:rsidP="00251157">
      <w:pPr>
        <w:tabs>
          <w:tab w:val="left" w:pos="306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1157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7.5. Иные ресурсы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URL: </w:t>
      </w:r>
    </w:p>
    <w:p w:rsidR="00251157" w:rsidRPr="00251157" w:rsidRDefault="00E05B44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251157"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hyperlink r:id="rId1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http://observer.materik.ru/observer/index.html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Ойкумена. Регионоведческие исследования –URL: </w:t>
      </w:r>
      <w:hyperlink r:id="rId1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16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Америка в XXI в. – </w:t>
      </w:r>
      <w:hyperlink r:id="rId17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18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19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hyperlink r:id="rId2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http://www.foreignaffairs.org/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hyperlink r:id="rId2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http://www.foreignpolicy.com/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Internationale Politik </w:t>
      </w:r>
      <w:hyperlink r:id="rId2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http://www.germany.org.ru/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hyperlink r:id="rId2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http://www.carnegie.ru/ru/pubs/procontra/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hyperlink r:id="rId2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http://www.muse.jhr.edu/journals/worldjpolitics</w:t>
        </w:r>
      </w:hyperlink>
    </w:p>
    <w:p w:rsidR="00251157" w:rsidRPr="00251157" w:rsidRDefault="00251157" w:rsidP="00251157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251157" w:rsidRPr="00251157" w:rsidRDefault="00251157" w:rsidP="00251157">
      <w:pPr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Наличие у студентов компьютера и свободного доступа в Интернет (Библиотека СЗИУ, компьютерные классы, персональные технические средства студента). При проведении зачета по практике необходимо мультимедийное оборудование в случае наличия у студентов презентаций в формате MS PowerPoint. </w:t>
      </w:r>
      <w:r w:rsidRPr="00251157">
        <w:rPr>
          <w:rFonts w:ascii="Times New Roman" w:hAnsi="Times New Roman"/>
          <w:sz w:val="24"/>
          <w:szCs w:val="24"/>
        </w:rPr>
        <w:t>При прохождении практики также используется МТБ организаций, в соответствии с заключенными договорами.</w:t>
      </w:r>
    </w:p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А. Отзыв руководителя </w:t>
      </w:r>
      <w:bookmarkEnd w:id="4"/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</w:t>
      </w:r>
    </w:p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 Варианты оценки за практику: «отлично», «хорошо», «удовлетворительно», «неудовлетворительно»)</w:t>
      </w:r>
    </w:p>
    <w:p w:rsidR="00251157" w:rsidRPr="00251157" w:rsidRDefault="009F7921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251157"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в период с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____________________________________________________________________________________________               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практики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9F7921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подготовлена научная статья на тему: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следующем</w:t>
      </w:r>
      <w:r w:rsidRPr="002511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                                                                   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апробацию своего исследования, выступив на конференции//приняв участие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251157" w:rsidRPr="00251157" w:rsidRDefault="00251157" w:rsidP="00251157">
      <w:pPr>
        <w:spacing w:after="10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251157" w:rsidRPr="00251157" w:rsidRDefault="00251157" w:rsidP="002511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sz w:val="20"/>
          <w:szCs w:val="20"/>
          <w:lang w:eastAsia="ru-RU"/>
        </w:rPr>
        <w:t>(«отлично», «хорошо», «удовлетворительно», «неудовлетворительно»)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251157" w:rsidRPr="00251157" w:rsidRDefault="00251157" w:rsidP="0025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51157">
        <w:rPr>
          <w:rFonts w:ascii="Arial" w:eastAsia="Times New Roman" w:hAnsi="Arial" w:cs="Arial"/>
          <w:b/>
          <w:bCs/>
          <w:kern w:val="32"/>
          <w:sz w:val="32"/>
          <w:szCs w:val="32"/>
        </w:rPr>
        <w:br w:type="page"/>
      </w:r>
      <w:bookmarkStart w:id="5" w:name="_Toc403550215"/>
      <w:r w:rsidRPr="00251157">
        <w:rPr>
          <w:rFonts w:ascii="Times New Roman" w:eastAsia="Times New Roman" w:hAnsi="Times New Roman" w:cs="Times New Roman"/>
          <w:b/>
          <w:bCs/>
          <w:kern w:val="32"/>
        </w:rPr>
        <w:t>Приложение Б. Титульный лист отчета о прохождении преддипломной практики</w:t>
      </w:r>
      <w:bookmarkEnd w:id="5"/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51157" w:rsidRPr="00251157" w:rsidTr="00251157">
        <w:tc>
          <w:tcPr>
            <w:tcW w:w="10029" w:type="dxa"/>
          </w:tcPr>
          <w:p w:rsidR="00251157" w:rsidRPr="00251157" w:rsidRDefault="00251157" w:rsidP="00251157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51157" w:rsidRPr="00251157" w:rsidRDefault="00251157" w:rsidP="00251157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высшего образования</w:t>
            </w: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51157" w:rsidRPr="00251157" w:rsidTr="00251157">
        <w:tc>
          <w:tcPr>
            <w:tcW w:w="10029" w:type="dxa"/>
            <w:tcBorders>
              <w:bottom w:val="double" w:sz="4" w:space="0" w:color="auto"/>
            </w:tcBorders>
          </w:tcPr>
          <w:p w:rsidR="00251157" w:rsidRPr="00251157" w:rsidRDefault="00251157" w:rsidP="002511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при ПРЕЗИДЕНТЕ РОССИЙСКОЙ ФЕДЕРАЦИИ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251157" w:rsidRPr="00251157" w:rsidTr="00251157">
        <w:tc>
          <w:tcPr>
            <w:tcW w:w="10029" w:type="dxa"/>
            <w:tcBorders>
              <w:top w:val="double" w:sz="4" w:space="0" w:color="auto"/>
            </w:tcBorders>
          </w:tcPr>
          <w:p w:rsidR="00251157" w:rsidRPr="00251157" w:rsidRDefault="00251157" w:rsidP="00251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(полный код и наименование)</w:t>
      </w:r>
    </w:p>
    <w:p w:rsidR="00251157" w:rsidRPr="00251157" w:rsidRDefault="00251157" w:rsidP="00251157">
      <w:pPr>
        <w:tabs>
          <w:tab w:val="center" w:pos="490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(вид практики)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           (Ф.И.О. студента)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обучения                                    учебная группа №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 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251157" w:rsidRPr="00251157" w:rsidRDefault="00251157" w:rsidP="0025115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(Ф.И.О., должность)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251157" w:rsidRPr="00251157" w:rsidRDefault="00251157" w:rsidP="00251157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Calibri" w:eastAsia="Calibri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(Ф.И.О., должность)</w:t>
      </w:r>
    </w:p>
    <w:p w:rsidR="00251157" w:rsidRPr="00251157" w:rsidRDefault="00251157" w:rsidP="00251157"/>
    <w:p w:rsidR="00251157" w:rsidRDefault="00251157"/>
    <w:sectPr w:rsidR="002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51" w:rsidRDefault="00D55B51">
      <w:pPr>
        <w:spacing w:after="0" w:line="240" w:lineRule="auto"/>
      </w:pPr>
      <w:r>
        <w:separator/>
      </w:r>
    </w:p>
  </w:endnote>
  <w:endnote w:type="continuationSeparator" w:id="0">
    <w:p w:rsidR="00D55B51" w:rsidRDefault="00D5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51" w:rsidRDefault="00D55B51">
      <w:pPr>
        <w:spacing w:after="0" w:line="240" w:lineRule="auto"/>
      </w:pPr>
      <w:r>
        <w:separator/>
      </w:r>
    </w:p>
  </w:footnote>
  <w:footnote w:type="continuationSeparator" w:id="0">
    <w:p w:rsidR="00D55B51" w:rsidRDefault="00D5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05B44">
      <w:rPr>
        <w:noProof/>
      </w:rPr>
      <w:t>2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05B44">
      <w:rPr>
        <w:noProof/>
      </w:rPr>
      <w:t>10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831BA"/>
    <w:multiLevelType w:val="hybridMultilevel"/>
    <w:tmpl w:val="F03A7132"/>
    <w:lvl w:ilvl="0" w:tplc="E35AA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 w15:restartNumberingAfterBreak="0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1357EA"/>
    <w:rsid w:val="00251157"/>
    <w:rsid w:val="0041256D"/>
    <w:rsid w:val="004D53FF"/>
    <w:rsid w:val="00597061"/>
    <w:rsid w:val="006E5703"/>
    <w:rsid w:val="00761BD3"/>
    <w:rsid w:val="00836A83"/>
    <w:rsid w:val="0096018C"/>
    <w:rsid w:val="009C1D88"/>
    <w:rsid w:val="009C241A"/>
    <w:rsid w:val="009F7921"/>
    <w:rsid w:val="00A13878"/>
    <w:rsid w:val="00A34DA0"/>
    <w:rsid w:val="00AB6B6A"/>
    <w:rsid w:val="00B42CE3"/>
    <w:rsid w:val="00B67C5D"/>
    <w:rsid w:val="00C21835"/>
    <w:rsid w:val="00D34112"/>
    <w:rsid w:val="00D55B51"/>
    <w:rsid w:val="00E05B44"/>
    <w:rsid w:val="00EB1640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4499F-7329-4270-B3CA-68329F1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Основной"/>
    <w:basedOn w:val="a"/>
    <w:link w:val="aa"/>
    <w:uiPriority w:val="99"/>
    <w:qFormat/>
    <w:rsid w:val="0025115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157"/>
  </w:style>
  <w:style w:type="paragraph" w:customStyle="1" w:styleId="3">
    <w:name w:val="Абзац списка3"/>
    <w:basedOn w:val="a"/>
    <w:uiPriority w:val="99"/>
    <w:rsid w:val="00A34DA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character" w:customStyle="1" w:styleId="aa">
    <w:name w:val="Абзац списка Знак"/>
    <w:aliases w:val="Основной Знак"/>
    <w:link w:val="a9"/>
    <w:uiPriority w:val="99"/>
    <w:rsid w:val="00E0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lobalaffairs.ru/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oreignpolicy.com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pircenter.org/security-index" TargetMode="External"/><Relationship Id="rId17" Type="http://schemas.openxmlformats.org/officeDocument/2006/relationships/hyperlink" Target="URL:http://www.rusu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hyperlink" Target="http://www.foreignaffai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journal.evolutio.info/" TargetMode="External"/><Relationship Id="rId24" Type="http://schemas.openxmlformats.org/officeDocument/2006/relationships/hyperlink" Target="http://www.muse.jhr.edu/journals/worldjpolit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jkum.ru/" TargetMode="External"/><Relationship Id="rId23" Type="http://schemas.openxmlformats.org/officeDocument/2006/relationships/hyperlink" Target="http://www.carnegie.ru/ru/pubs/procontra/" TargetMode="External"/><Relationship Id="rId10" Type="http://schemas.openxmlformats.org/officeDocument/2006/relationships/hyperlink" Target="http://www.vestnik.mgimo.ru/" TargetMode="External"/><Relationship Id="rId19" Type="http://schemas.openxmlformats.org/officeDocument/2006/relationships/hyperlink" Target="http://www.rfej.ru/r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observer.materik.ru/observer/index.html" TargetMode="External"/><Relationship Id="rId22" Type="http://schemas.openxmlformats.org/officeDocument/2006/relationships/hyperlink" Target="http://www.germany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9</cp:revision>
  <dcterms:created xsi:type="dcterms:W3CDTF">2018-09-17T17:41:00Z</dcterms:created>
  <dcterms:modified xsi:type="dcterms:W3CDTF">2021-10-06T11:44:00Z</dcterms:modified>
</cp:coreProperties>
</file>