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9E4FC8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A0762" w:rsidRPr="00E17C32" w:rsidRDefault="00FA0762" w:rsidP="00FA0762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:rsidR="00FA0762" w:rsidRPr="00E17C32" w:rsidRDefault="00FA0762" w:rsidP="00FA0762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>Протокол от «</w:t>
            </w:r>
            <w:r w:rsidR="00E0355F">
              <w:rPr>
                <w:rFonts w:cs="Calibri"/>
              </w:rPr>
              <w:t>28</w:t>
            </w:r>
            <w:r w:rsidRPr="00E17C32">
              <w:rPr>
                <w:rFonts w:cs="Calibri"/>
              </w:rPr>
              <w:t>» августа 201</w:t>
            </w:r>
            <w:r w:rsidR="00E0355F">
              <w:rPr>
                <w:rFonts w:cs="Calibri"/>
              </w:rPr>
              <w:t>9</w:t>
            </w:r>
            <w:r w:rsidRPr="00E17C32">
              <w:rPr>
                <w:rFonts w:cs="Calibri"/>
              </w:rPr>
              <w:t xml:space="preserve"> г.  №</w:t>
            </w:r>
            <w:r w:rsidR="00E0355F">
              <w:rPr>
                <w:rFonts w:cs="Calibri"/>
              </w:rPr>
              <w:t>1</w:t>
            </w:r>
            <w:r w:rsidRPr="00E17C32">
              <w:rPr>
                <w:rFonts w:cs="Calibri"/>
              </w:rPr>
              <w:t xml:space="preserve">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Default="002C2CB5" w:rsidP="002C38C5">
      <w:pPr>
        <w:ind w:firstLine="567"/>
        <w:jc w:val="center"/>
        <w:rPr>
          <w:szCs w:val="24"/>
        </w:rPr>
      </w:pPr>
      <w:r w:rsidRPr="002C2CB5">
        <w:rPr>
          <w:szCs w:val="24"/>
        </w:rPr>
        <w:t>Б3.В.02(Н)</w:t>
      </w:r>
      <w:r w:rsidR="00981C7E" w:rsidRPr="00981C7E">
        <w:rPr>
          <w:szCs w:val="24"/>
        </w:rPr>
        <w:t xml:space="preserve">: </w:t>
      </w:r>
      <w:r w:rsidR="002C331E">
        <w:rPr>
          <w:szCs w:val="24"/>
        </w:rPr>
        <w:t>Подготовка академической публикации</w:t>
      </w:r>
    </w:p>
    <w:p w:rsidR="00981C7E" w:rsidRPr="00D1638D" w:rsidRDefault="00981C7E" w:rsidP="002C38C5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 xml:space="preserve">38.06.01 Экономика </w:t>
      </w:r>
    </w:p>
    <w:p w:rsidR="00074AA6" w:rsidRDefault="00074AA6" w:rsidP="00074AA6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Экономика и управление народным хозяйством (региональная экономика)</w:t>
      </w:r>
    </w:p>
    <w:p w:rsidR="00074AA6" w:rsidRDefault="00074AA6" w:rsidP="00074AA6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(профиль)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  <w:rPr>
          <w:i/>
          <w:iCs/>
        </w:rPr>
      </w:pPr>
      <w:r>
        <w:t>Исследователь. Преподаватель-исследователь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(квалификация)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Default="00074AA6" w:rsidP="00074AA6">
      <w:pPr>
        <w:ind w:firstLine="567"/>
        <w:jc w:val="center"/>
      </w:pPr>
      <w:r>
        <w:t>Очная/заочная</w:t>
      </w:r>
    </w:p>
    <w:p w:rsidR="00074AA6" w:rsidRDefault="00074AA6" w:rsidP="00074AA6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 обучения)</w:t>
      </w:r>
    </w:p>
    <w:p w:rsidR="00074AA6" w:rsidRDefault="00074AA6" w:rsidP="00074AA6">
      <w:pPr>
        <w:ind w:firstLine="567"/>
        <w:jc w:val="center"/>
        <w:rPr>
          <w:szCs w:val="24"/>
        </w:rPr>
      </w:pPr>
    </w:p>
    <w:p w:rsidR="00074AA6" w:rsidRPr="00AB0BA0" w:rsidRDefault="00AB0BA0" w:rsidP="00074AA6">
      <w:pPr>
        <w:ind w:firstLine="567"/>
        <w:jc w:val="center"/>
      </w:pPr>
      <w:r>
        <w:t>Год набора - 20</w:t>
      </w:r>
      <w:r w:rsidR="00E0355F">
        <w:t>20</w:t>
      </w: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AB0BA0" w:rsidRPr="00AB0BA0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31E" w:rsidRDefault="00AB0BA0" w:rsidP="00FA0762">
      <w:pPr>
        <w:ind w:firstLine="567"/>
        <w:jc w:val="center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Санкт-Петербург, 201</w:t>
      </w:r>
      <w:r w:rsidR="00E0355F">
        <w:rPr>
          <w:rFonts w:eastAsia="MS Mincho"/>
          <w:szCs w:val="24"/>
          <w:lang w:eastAsia="ru-RU"/>
        </w:rPr>
        <w:t>9</w:t>
      </w:r>
      <w:r w:rsidR="002C38C5" w:rsidRPr="00D1638D">
        <w:rPr>
          <w:rFonts w:eastAsia="MS Mincho"/>
          <w:szCs w:val="24"/>
          <w:lang w:eastAsia="ru-RU"/>
        </w:rPr>
        <w:br w:type="page"/>
      </w:r>
    </w:p>
    <w:p w:rsidR="002C331E" w:rsidRDefault="002C331E" w:rsidP="002C331E">
      <w:pPr>
        <w:ind w:firstLine="567"/>
        <w:jc w:val="center"/>
        <w:rPr>
          <w:rFonts w:eastAsia="MS Mincho"/>
          <w:szCs w:val="24"/>
          <w:lang w:eastAsia="ru-RU"/>
        </w:rPr>
      </w:pPr>
    </w:p>
    <w:p w:rsidR="002C38C5" w:rsidRPr="00D1638D" w:rsidRDefault="002C38C5" w:rsidP="002C331E">
      <w:pPr>
        <w:ind w:firstLine="567"/>
        <w:jc w:val="both"/>
        <w:rPr>
          <w:szCs w:val="24"/>
        </w:rPr>
      </w:pPr>
      <w:r w:rsidRPr="00D1638D">
        <w:rPr>
          <w:b/>
          <w:szCs w:val="24"/>
        </w:rPr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</w:p>
    <w:p w:rsidR="00981C7E" w:rsidRDefault="00981C7E" w:rsidP="002C38C5">
      <w:pPr>
        <w:ind w:firstLine="27"/>
        <w:rPr>
          <w:szCs w:val="24"/>
        </w:rPr>
      </w:pPr>
      <w:r>
        <w:rPr>
          <w:szCs w:val="24"/>
        </w:rPr>
        <w:t>1. Вид деятельности</w:t>
      </w:r>
    </w:p>
    <w:p w:rsidR="00981C7E" w:rsidRPr="00D1638D" w:rsidRDefault="00981C7E" w:rsidP="008825FC">
      <w:pPr>
        <w:ind w:firstLine="27"/>
        <w:rPr>
          <w:szCs w:val="24"/>
        </w:rPr>
      </w:pPr>
      <w:r w:rsidRPr="00D1638D">
        <w:rPr>
          <w:szCs w:val="24"/>
        </w:rPr>
        <w:t xml:space="preserve">2. Планируемые результаты </w:t>
      </w:r>
      <w:r>
        <w:rPr>
          <w:szCs w:val="24"/>
        </w:rPr>
        <w:t>деятельности</w:t>
      </w:r>
      <w:r w:rsidRPr="00D1638D">
        <w:rPr>
          <w:szCs w:val="24"/>
        </w:rPr>
        <w:t>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3. Объем и место практики (научно-исследовательской, исследовательской, аналитической работы) в структуре ОП ВО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4. Содержание практики (научно-исследовательской, исследовательской, аналитической работы)…………………………………………………………………….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5.</w:t>
      </w:r>
      <w:r w:rsidRPr="00D1638D">
        <w:rPr>
          <w:b/>
          <w:szCs w:val="24"/>
        </w:rPr>
        <w:t xml:space="preserve"> </w:t>
      </w:r>
      <w:r w:rsidRPr="00D1638D">
        <w:rPr>
          <w:szCs w:val="24"/>
        </w:rPr>
        <w:t>Формы отчетности по практике (научно-исследовательской, исследовательской, аналитической работе)</w:t>
      </w:r>
    </w:p>
    <w:p w:rsidR="00981C7E" w:rsidRPr="00D1638D" w:rsidRDefault="00981C7E" w:rsidP="002C38C5">
      <w:pPr>
        <w:jc w:val="both"/>
        <w:rPr>
          <w:szCs w:val="24"/>
        </w:rPr>
      </w:pPr>
      <w:r w:rsidRPr="00D1638D">
        <w:rPr>
          <w:szCs w:val="24"/>
        </w:rPr>
        <w:t>6. Фонд оценочных средств для проведения промежуточной аттестации по практике</w:t>
      </w:r>
    </w:p>
    <w:p w:rsidR="00981C7E" w:rsidRPr="00D1638D" w:rsidRDefault="00981C7E" w:rsidP="002C38C5">
      <w:pPr>
        <w:tabs>
          <w:tab w:val="left" w:pos="567"/>
        </w:tabs>
        <w:ind w:firstLine="27"/>
        <w:rPr>
          <w:szCs w:val="24"/>
        </w:rPr>
      </w:pPr>
      <w:r w:rsidRPr="00D1638D">
        <w:rPr>
          <w:szCs w:val="24"/>
        </w:rPr>
        <w:t>7. Учебная литература и ресурсы информационно-телекоммуникационной сети "Интернет"  ………………………………………………………………………………..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7.1. Основная литература………………………………………………………..………..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7.2. Дополнительная литература …….……………………………………….……….…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7.3. Нормативные правовые документы ….……………………………………………..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7.4. Интернет-ресурсы ……..……………….………………………………………….....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7.5. Иные рекомендуемые источники ………………………………..……………….....</w:t>
      </w:r>
    </w:p>
    <w:p w:rsidR="00981C7E" w:rsidRPr="00D1638D" w:rsidRDefault="00981C7E" w:rsidP="002C38C5">
      <w:pPr>
        <w:ind w:firstLine="27"/>
        <w:rPr>
          <w:szCs w:val="24"/>
        </w:rPr>
      </w:pPr>
      <w:r w:rsidRPr="00D1638D">
        <w:rPr>
          <w:szCs w:val="24"/>
        </w:rPr>
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</w: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0E3710">
        <w:rPr>
          <w:rStyle w:val="10"/>
          <w:sz w:val="24"/>
          <w:szCs w:val="24"/>
        </w:rPr>
        <w:t>Вид научно-</w:t>
      </w:r>
      <w:r w:rsidRPr="00D1638D">
        <w:rPr>
          <w:rStyle w:val="10"/>
          <w:sz w:val="24"/>
          <w:szCs w:val="24"/>
        </w:rPr>
        <w:t xml:space="preserve"> исследова</w:t>
      </w:r>
      <w:r w:rsidR="000E3710">
        <w:rPr>
          <w:rStyle w:val="10"/>
          <w:sz w:val="24"/>
          <w:szCs w:val="24"/>
        </w:rPr>
        <w:t>тельской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0E3710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Видом научных исследований является </w:t>
      </w:r>
      <w:r w:rsidR="008825FC">
        <w:rPr>
          <w:color w:val="000000"/>
          <w:szCs w:val="24"/>
        </w:rPr>
        <w:t xml:space="preserve">подготовка </w:t>
      </w:r>
      <w:r w:rsidR="002C331E">
        <w:rPr>
          <w:color w:val="000000"/>
          <w:szCs w:val="24"/>
        </w:rPr>
        <w:t>академической публикации.</w:t>
      </w:r>
      <w:r w:rsidR="000E3710">
        <w:rPr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</w:t>
      </w:r>
      <w:r w:rsidR="00981C7E">
        <w:rPr>
          <w:color w:val="000000"/>
          <w:szCs w:val="24"/>
        </w:rPr>
        <w:t xml:space="preserve">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</w:t>
      </w:r>
      <w:r w:rsidR="002C331E">
        <w:rPr>
          <w:rStyle w:val="10"/>
          <w:sz w:val="24"/>
          <w:szCs w:val="24"/>
        </w:rPr>
        <w:t>научно-исследовательской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2C331E">
        <w:rPr>
          <w:szCs w:val="24"/>
        </w:rPr>
        <w:t>деятельность по подготовке академической публикации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147"/>
        <w:gridCol w:w="1672"/>
        <w:gridCol w:w="3084"/>
      </w:tblGrid>
      <w:tr w:rsidR="002C38C5" w:rsidRPr="00D1638D" w:rsidTr="001B4E8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Код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</w:t>
            </w:r>
          </w:p>
          <w:p w:rsidR="002C38C5" w:rsidRPr="00D1638D" w:rsidRDefault="002C38C5" w:rsidP="001B4E8A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981C7E" w:rsidRPr="00D1638D" w:rsidTr="002C331E">
        <w:trPr>
          <w:trHeight w:val="1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ОПК- 1</w:t>
            </w:r>
          </w:p>
          <w:p w:rsidR="00981C7E" w:rsidRPr="00D1638D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5C1" w:rsidRPr="002315C1" w:rsidRDefault="002315C1" w:rsidP="002315C1">
            <w:pPr>
              <w:jc w:val="both"/>
              <w:rPr>
                <w:szCs w:val="24"/>
              </w:rPr>
            </w:pPr>
            <w:r w:rsidRPr="002315C1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981C7E" w:rsidRPr="002315C1" w:rsidRDefault="00981C7E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-1.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315C1" w:rsidP="009B5198">
            <w:pPr>
              <w:jc w:val="both"/>
              <w:rPr>
                <w:szCs w:val="24"/>
              </w:rPr>
            </w:pPr>
            <w:r w:rsidRPr="00C476BA">
              <w:rPr>
                <w:szCs w:val="20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981C7E" w:rsidRPr="00D1638D" w:rsidTr="001B4E8A">
        <w:trPr>
          <w:trHeight w:val="17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981C7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7E" w:rsidRPr="00D1638D" w:rsidRDefault="002C331E" w:rsidP="009B5198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1B4E8A" w:rsidRPr="0045571C" w:rsidTr="001B4E8A">
        <w:trPr>
          <w:trHeight w:val="1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ПК-1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color w:val="000000"/>
                <w:szCs w:val="24"/>
              </w:rPr>
            </w:pPr>
            <w:r w:rsidRPr="0045571C">
              <w:rPr>
                <w:szCs w:val="24"/>
              </w:rPr>
              <w:t xml:space="preserve"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>ПК-1.2</w:t>
            </w:r>
          </w:p>
          <w:p w:rsidR="001B4E8A" w:rsidRPr="0045571C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 xml:space="preserve"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</w:t>
            </w:r>
            <w:r w:rsidRPr="0045571C">
              <w:rPr>
                <w:szCs w:val="24"/>
              </w:rPr>
              <w:lastRenderedPageBreak/>
              <w:t>а также менеджеры как субъекты управления)</w:t>
            </w:r>
          </w:p>
          <w:p w:rsidR="0045571C" w:rsidRPr="0045571C" w:rsidRDefault="0045571C" w:rsidP="0045571C">
            <w:pPr>
              <w:jc w:val="both"/>
              <w:rPr>
                <w:szCs w:val="24"/>
              </w:rPr>
            </w:pPr>
          </w:p>
        </w:tc>
      </w:tr>
      <w:tr w:rsidR="0045571C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lastRenderedPageBreak/>
              <w:t xml:space="preserve">ПК-2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center"/>
              <w:rPr>
                <w:szCs w:val="24"/>
              </w:rPr>
            </w:pPr>
            <w:r w:rsidRPr="0045571C">
              <w:rPr>
                <w:szCs w:val="24"/>
              </w:rPr>
              <w:t>ПК-2.2.</w:t>
            </w:r>
          </w:p>
          <w:p w:rsidR="0045571C" w:rsidRPr="0045571C" w:rsidRDefault="0045571C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71C" w:rsidRPr="0045571C" w:rsidRDefault="0045571C" w:rsidP="0045571C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1B4E8A" w:rsidRPr="0045571C" w:rsidTr="001B4E8A">
        <w:trPr>
          <w:trHeight w:val="18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1B4E8A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ПК-4.</w:t>
            </w:r>
            <w:r w:rsidR="002C331E" w:rsidRPr="0045571C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45571C" w:rsidRDefault="0045571C" w:rsidP="009B5198">
            <w:pPr>
              <w:jc w:val="both"/>
              <w:rPr>
                <w:szCs w:val="24"/>
              </w:rPr>
            </w:pPr>
            <w:r w:rsidRPr="0045571C">
              <w:rPr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</w:tr>
      <w:tr w:rsidR="001B4E8A" w:rsidRPr="009B5198" w:rsidTr="001B4E8A">
        <w:trPr>
          <w:trHeight w:val="34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rFonts w:ascii="Tahoma" w:hAnsi="Tahoma" w:cs="Tahoma"/>
                <w:color w:val="000000"/>
                <w:szCs w:val="24"/>
              </w:rPr>
            </w:pPr>
            <w:r w:rsidRPr="009B5198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198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УК-2.2</w:t>
            </w:r>
          </w:p>
          <w:p w:rsidR="001B4E8A" w:rsidRPr="009B5198" w:rsidRDefault="001B4E8A" w:rsidP="009B5198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E8A" w:rsidRPr="009B5198" w:rsidRDefault="009B5198" w:rsidP="009B5198">
            <w:pPr>
              <w:jc w:val="both"/>
              <w:rPr>
                <w:szCs w:val="24"/>
              </w:rPr>
            </w:pPr>
            <w:r w:rsidRPr="009B5198">
              <w:rPr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533"/>
        <w:gridCol w:w="4744"/>
      </w:tblGrid>
      <w:tr w:rsidR="002C38C5" w:rsidRPr="00D1638D" w:rsidTr="006F6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>(при наличии профстандарта)</w:t>
            </w:r>
          </w:p>
        </w:tc>
        <w:tc>
          <w:tcPr>
            <w:tcW w:w="813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515" w:type="pct"/>
            <w:tcBorders>
              <w:bottom w:val="none" w:sz="0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1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38C5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C331E">
              <w:rPr>
                <w:szCs w:val="24"/>
              </w:rPr>
              <w:t>2</w:t>
            </w:r>
          </w:p>
          <w:p w:rsidR="009F0D79" w:rsidRPr="00D1638D" w:rsidRDefault="009F0D79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="002315C1" w:rsidRPr="00A474B8">
              <w:t>наний: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методологических закономерностей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  <w:p w:rsidR="002C38C5" w:rsidRPr="00D1638D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74B8">
              <w:t>современных направлений отечественных и зарубежных исследований в области</w:t>
            </w:r>
          </w:p>
        </w:tc>
      </w:tr>
      <w:tr w:rsidR="002C38C5" w:rsidRPr="00D1638D" w:rsidTr="006F6CEF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2315C1" w:rsidRPr="00A474B8" w:rsidRDefault="00647166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="002315C1" w:rsidRPr="00A474B8">
              <w:t>мений:</w:t>
            </w:r>
          </w:p>
          <w:p w:rsidR="002315C1" w:rsidRPr="00A474B8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 в области</w:t>
            </w:r>
            <w:r>
              <w:t xml:space="preserve"> управления инновациями</w:t>
            </w:r>
            <w:r w:rsidRPr="00A474B8">
              <w:t>;</w:t>
            </w:r>
          </w:p>
          <w:p w:rsidR="002C38C5" w:rsidRPr="002315C1" w:rsidRDefault="002315C1" w:rsidP="002315C1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процессов;</w:t>
            </w:r>
          </w:p>
        </w:tc>
      </w:tr>
      <w:tr w:rsidR="002C38C5" w:rsidRPr="00D1638D" w:rsidTr="00231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2315C1" w:rsidRPr="00A474B8" w:rsidRDefault="00647166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2315C1" w:rsidRPr="00A474B8">
              <w:t>авыков:</w:t>
            </w:r>
          </w:p>
          <w:p w:rsidR="002315C1" w:rsidRPr="00A474B8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 культуры решения задач анализа сложных социально-экономических систем;</w:t>
            </w:r>
          </w:p>
          <w:p w:rsidR="002C38C5" w:rsidRPr="002315C1" w:rsidRDefault="002315C1" w:rsidP="002315C1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2C38C5" w:rsidRPr="00F13329" w:rsidRDefault="00F13329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F13329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813" w:type="pct"/>
            <w:vMerge w:val="restart"/>
          </w:tcPr>
          <w:p w:rsidR="005C79FB" w:rsidRPr="001B4E8A" w:rsidRDefault="00224AE2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D1638D">
              <w:rPr>
                <w:szCs w:val="24"/>
              </w:rPr>
              <w:t>ОПК-2.</w:t>
            </w:r>
            <w:r w:rsidR="002C331E">
              <w:rPr>
                <w:szCs w:val="24"/>
              </w:rPr>
              <w:t>2</w:t>
            </w:r>
          </w:p>
        </w:tc>
        <w:tc>
          <w:tcPr>
            <w:tcW w:w="2515" w:type="pct"/>
          </w:tcPr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з</w:t>
            </w:r>
            <w:r w:rsidRPr="00A474B8">
              <w:t>наний: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закономерностей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методов решения задач управления в социальных и экономических системах;</w:t>
            </w:r>
          </w:p>
        </w:tc>
      </w:tr>
      <w:tr w:rsidR="002C38C5" w:rsidRPr="00D1638D" w:rsidTr="00F13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</w:tcPr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у</w:t>
            </w:r>
            <w:r w:rsidRPr="00A474B8">
              <w:t>мений:</w:t>
            </w:r>
          </w:p>
          <w:p w:rsidR="00F13329" w:rsidRPr="00A474B8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указанные знания в научно-исследовательской деятельности;</w:t>
            </w:r>
          </w:p>
          <w:p w:rsidR="002C38C5" w:rsidRPr="00F13329" w:rsidRDefault="00F13329" w:rsidP="00F13329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Pr="00A474B8">
              <w:t>применять теоретические основы анализа для моделирования социально-экономических процессов</w:t>
            </w:r>
            <w:r w:rsidRPr="005566BE">
              <w:t>.</w:t>
            </w:r>
          </w:p>
        </w:tc>
      </w:tr>
      <w:tr w:rsidR="002C38C5" w:rsidRPr="00D1638D" w:rsidTr="00F13329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F13329" w:rsidRPr="00A474B8" w:rsidRDefault="00647166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38D">
              <w:t xml:space="preserve">На уровне </w:t>
            </w:r>
            <w:r>
              <w:t>н</w:t>
            </w:r>
            <w:r w:rsidR="00F13329" w:rsidRPr="00A474B8">
              <w:t>авыков: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сложных социально-экономических систем;</w:t>
            </w:r>
          </w:p>
          <w:p w:rsidR="00F13329" w:rsidRPr="00A474B8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>решения задач анализа с применением информационных технологий.</w:t>
            </w:r>
          </w:p>
          <w:p w:rsidR="002C38C5" w:rsidRPr="00D1638D" w:rsidRDefault="00F13329" w:rsidP="00F13329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Pr="00A474B8">
              <w:t xml:space="preserve">выявления связей и закономерностей </w:t>
            </w:r>
            <w:r>
              <w:t>в региональнй экономике</w:t>
            </w:r>
            <w:r w:rsidRPr="00A474B8">
              <w:t>с последующей разработкой механизмов их совершенствования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F6CEF" w:rsidRPr="006F6CEF" w:rsidRDefault="006F6CEF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6F6CEF">
              <w:rPr>
                <w:b w:val="0"/>
                <w:sz w:val="24"/>
                <w:szCs w:val="24"/>
              </w:rPr>
              <w:t>Способность проектировать и осуществлять комплексные исследованияна основе целостного системного научного мировоззрения</w:t>
            </w:r>
          </w:p>
        </w:tc>
        <w:tc>
          <w:tcPr>
            <w:tcW w:w="813" w:type="pct"/>
            <w:vMerge w:val="restart"/>
          </w:tcPr>
          <w:p w:rsidR="006F6CEF" w:rsidRPr="004C4002" w:rsidRDefault="006F6CEF" w:rsidP="00341E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C4002">
              <w:rPr>
                <w:sz w:val="24"/>
                <w:szCs w:val="24"/>
              </w:rPr>
              <w:t>УК-2.2</w:t>
            </w:r>
          </w:p>
          <w:p w:rsidR="006F6CEF" w:rsidRPr="00D1638D" w:rsidRDefault="006F6CEF" w:rsidP="002C33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ЗНАНИЙ</w:t>
            </w:r>
          </w:p>
          <w:p w:rsidR="004517FB" w:rsidRDefault="004517FB" w:rsidP="004517FB">
            <w:pPr>
              <w:widowControl/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0D37">
              <w:t>методы научно-исследовательской деятельности</w:t>
            </w:r>
            <w:r w:rsidRPr="004C4002">
              <w:rPr>
                <w:sz w:val="24"/>
                <w:szCs w:val="24"/>
              </w:rPr>
              <w:t xml:space="preserve"> </w:t>
            </w:r>
          </w:p>
          <w:p w:rsidR="004517FB" w:rsidRPr="00EE4836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4517FB" w:rsidRPr="00831054" w:rsidRDefault="004517FB" w:rsidP="004517FB">
            <w:pPr>
              <w:numPr>
                <w:ilvl w:val="0"/>
                <w:numId w:val="33"/>
              </w:num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t>у</w:t>
            </w:r>
            <w:r w:rsidRPr="00EE4836">
              <w:t xml:space="preserve">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6F6CEF" w:rsidRPr="00341E3D" w:rsidRDefault="006F6CEF" w:rsidP="00341E3D">
            <w:pPr>
              <w:overflowPunct/>
              <w:adjustRightInd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</w:p>
        </w:tc>
      </w:tr>
      <w:tr w:rsidR="006F6CEF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6F6CEF" w:rsidRDefault="006F6CEF" w:rsidP="00446436">
            <w:pPr>
              <w:jc w:val="both"/>
              <w:rPr>
                <w:b w:val="0"/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4517FB" w:rsidRDefault="004517FB" w:rsidP="004517FB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517FB">
              <w:rPr>
                <w:szCs w:val="24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6F6CEF" w:rsidRPr="00F4392A" w:rsidRDefault="006F6CEF" w:rsidP="00341E3D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4392A">
              <w:rPr>
                <w:szCs w:val="24"/>
              </w:rPr>
              <w:t xml:space="preserve">теме, предлагать методы исследования и способы обработки результатов, проводить </w:t>
            </w:r>
            <w:r w:rsidRPr="00F4392A">
              <w:rPr>
                <w:szCs w:val="24"/>
              </w:rPr>
              <w:lastRenderedPageBreak/>
              <w:t>творческие исследования,  представлять полученные результаты</w:t>
            </w:r>
          </w:p>
        </w:tc>
      </w:tr>
      <w:tr w:rsidR="006F6CEF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F6CEF" w:rsidRPr="00D1638D" w:rsidRDefault="006F6CEF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F6CEF" w:rsidRPr="00D1638D" w:rsidRDefault="006F6CEF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6F6CEF" w:rsidRPr="00F4392A" w:rsidRDefault="006F6CEF" w:rsidP="00341E3D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EE4836" w:rsidRDefault="004517FB" w:rsidP="004517FB">
            <w:pPr>
              <w:pStyle w:val="a5"/>
              <w:numPr>
                <w:ilvl w:val="0"/>
                <w:numId w:val="35"/>
              </w:numPr>
              <w:overflowPunct/>
              <w:adjustRightInd w:val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F80D37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F80D37">
              <w:rPr>
                <w:b/>
              </w:rPr>
              <w:t xml:space="preserve"> </w:t>
            </w:r>
          </w:p>
          <w:p w:rsidR="006F6CEF" w:rsidRPr="004517FB" w:rsidRDefault="004517FB" w:rsidP="004517FB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</w:tc>
      </w:tr>
      <w:tr w:rsidR="006C7028" w:rsidRPr="004517FB" w:rsidTr="006F6CEF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6C7028" w:rsidRPr="004517FB" w:rsidRDefault="004517FB" w:rsidP="006C7028">
            <w:pPr>
              <w:jc w:val="both"/>
              <w:rPr>
                <w:b w:val="0"/>
                <w:sz w:val="20"/>
                <w:szCs w:val="20"/>
              </w:rPr>
            </w:pPr>
            <w:r w:rsidRPr="004517FB">
              <w:rPr>
                <w:b w:val="0"/>
                <w:sz w:val="24"/>
                <w:szCs w:val="24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ПК-1.2</w:t>
            </w:r>
          </w:p>
          <w:p w:rsidR="006C7028" w:rsidRPr="004517FB" w:rsidRDefault="006C7028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4517FB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517FB">
              <w:rPr>
                <w:sz w:val="24"/>
              </w:rPr>
              <w:t>НА УРОВНЕ ЗНАНИЙ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6C7028" w:rsidRPr="004517FB" w:rsidRDefault="006C7028" w:rsidP="004517FB">
            <w:pPr>
              <w:widowControl/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C7028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6C7028" w:rsidRPr="00D1638D" w:rsidRDefault="006C7028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6C7028" w:rsidRPr="00F4392A" w:rsidRDefault="006C7028" w:rsidP="006C7028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C7028" w:rsidRPr="00D1638D" w:rsidTr="004517FB">
        <w:trPr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6C7028" w:rsidRPr="00D1638D" w:rsidRDefault="006C7028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6C7028" w:rsidRPr="00D1638D" w:rsidRDefault="006C7028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6C7028" w:rsidRPr="00F4392A" w:rsidRDefault="006C7028" w:rsidP="006C7028">
            <w:pPr>
              <w:overflowPunct/>
              <w:autoSpaceDE/>
              <w:autoSpaceDN/>
              <w:spacing w:before="12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17B15" w:rsidRPr="004517FB" w:rsidTr="00517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4517FB" w:rsidRDefault="004517FB" w:rsidP="00320F49">
            <w:pPr>
              <w:ind w:firstLine="709"/>
              <w:jc w:val="both"/>
              <w:rPr>
                <w:b w:val="0"/>
                <w:sz w:val="24"/>
                <w:szCs w:val="24"/>
              </w:rPr>
            </w:pPr>
            <w:r w:rsidRPr="004517FB">
              <w:rPr>
                <w:b w:val="0"/>
                <w:sz w:val="24"/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  <w:tc>
          <w:tcPr>
            <w:tcW w:w="813" w:type="pct"/>
            <w:vMerge w:val="restart"/>
          </w:tcPr>
          <w:p w:rsidR="004517FB" w:rsidRPr="004517FB" w:rsidRDefault="004517FB" w:rsidP="004517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ПК-2.2.</w:t>
            </w:r>
          </w:p>
          <w:p w:rsidR="00517B15" w:rsidRPr="004517FB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</w:tcPr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</w:rPr>
              <w:t>НА УРОВНЕ ЗНАНИЙ</w:t>
            </w:r>
            <w:r w:rsidRPr="004517FB">
              <w:rPr>
                <w:sz w:val="24"/>
                <w:szCs w:val="24"/>
              </w:rPr>
              <w:t xml:space="preserve"> методологию системного подхода и системного анализа</w:t>
            </w:r>
          </w:p>
          <w:p w:rsidR="004517FB" w:rsidRPr="004517FB" w:rsidRDefault="004517FB" w:rsidP="004517FB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517FB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17B15" w:rsidRPr="004517FB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</w:p>
        </w:tc>
      </w:tr>
      <w:tr w:rsidR="00517B15" w:rsidRPr="00D1638D" w:rsidTr="006F6CEF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pStyle w:val="a"/>
              <w:numPr>
                <w:ilvl w:val="0"/>
                <w:numId w:val="0"/>
              </w:numPr>
              <w:spacing w:line="240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4392A">
              <w:rPr>
                <w:sz w:val="24"/>
              </w:rPr>
              <w:t>НА УРОВНЕ УМЕНИЙ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517FB" w:rsidRPr="00815C4C" w:rsidRDefault="004517FB" w:rsidP="004517FB">
            <w:pPr>
              <w:widowControl/>
              <w:numPr>
                <w:ilvl w:val="0"/>
                <w:numId w:val="41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517B15" w:rsidRPr="00D1638D" w:rsidRDefault="00517B15" w:rsidP="00517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4517FB" w:rsidRPr="00F4392A" w:rsidRDefault="004517FB" w:rsidP="004517FB">
            <w:pPr>
              <w:ind w:left="9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392A">
              <w:rPr>
                <w:sz w:val="24"/>
                <w:szCs w:val="24"/>
              </w:rPr>
              <w:t>НА УРОВНЕ НАВЫКОВ: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517FB" w:rsidRPr="00815C4C" w:rsidRDefault="004517FB" w:rsidP="004517FB">
            <w:pPr>
              <w:ind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517B15" w:rsidRPr="00D1638D" w:rsidRDefault="00517B15" w:rsidP="00517B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B15" w:rsidRPr="00720C54" w:rsidTr="00720C5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 w:val="restart"/>
          </w:tcPr>
          <w:p w:rsidR="00517B15" w:rsidRPr="00720C54" w:rsidRDefault="00720C54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720C54">
              <w:rPr>
                <w:b w:val="0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813" w:type="pct"/>
            <w:vMerge w:val="restart"/>
          </w:tcPr>
          <w:p w:rsidR="00517B15" w:rsidRPr="00720C54" w:rsidRDefault="00517B15" w:rsidP="002C33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720C54">
              <w:rPr>
                <w:szCs w:val="24"/>
              </w:rPr>
              <w:t>ПК-4.2</w:t>
            </w:r>
          </w:p>
        </w:tc>
        <w:tc>
          <w:tcPr>
            <w:tcW w:w="2515" w:type="pct"/>
          </w:tcPr>
          <w:p w:rsidR="00517B15" w:rsidRPr="00720C54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0C54">
              <w:t>На уровне знаний</w:t>
            </w:r>
          </w:p>
          <w:p w:rsid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-проблемы государственной поддержки инновационной деятельности; </w:t>
            </w:r>
          </w:p>
          <w:p w:rsidR="00517B15" w:rsidRPr="00720C54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-способы оценки эффективности инновационных проектов и оценки затрат; </w:t>
            </w:r>
          </w:p>
        </w:tc>
      </w:tr>
      <w:tr w:rsidR="00517B15" w:rsidRPr="00D1638D" w:rsidTr="006F6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392A">
              <w:t>На уровне умений:</w:t>
            </w:r>
          </w:p>
          <w:p w:rsidR="00517B15" w:rsidRPr="00720C54" w:rsidRDefault="00720C54" w:rsidP="00720C54">
            <w:pPr>
              <w:pStyle w:val="a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t xml:space="preserve">-методами оценки эффективности инновационно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</w:tc>
      </w:tr>
      <w:tr w:rsidR="00517B15" w:rsidRPr="00D1638D" w:rsidTr="006F6CE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pct"/>
            <w:vMerge/>
          </w:tcPr>
          <w:p w:rsidR="00517B15" w:rsidRPr="00D1638D" w:rsidRDefault="00517B1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13" w:type="pct"/>
            <w:vMerge/>
          </w:tcPr>
          <w:p w:rsidR="00517B15" w:rsidRPr="00D1638D" w:rsidRDefault="00517B1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2515" w:type="pct"/>
            <w:vAlign w:val="center"/>
          </w:tcPr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392A">
              <w:t>На уровне навыков:</w:t>
            </w:r>
          </w:p>
          <w:p w:rsidR="00720C54" w:rsidRPr="00815C4C" w:rsidRDefault="00720C54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оценки эффективности инновационной деятельности</w:t>
            </w:r>
          </w:p>
          <w:p w:rsidR="00517B15" w:rsidRPr="00F4392A" w:rsidRDefault="00517B15" w:rsidP="00720C54">
            <w:pPr>
              <w:pStyle w:val="a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D1638D">
        <w:rPr>
          <w:rFonts w:eastAsiaTheme="majorEastAsia" w:cstheme="majorBidi"/>
          <w:b/>
          <w:szCs w:val="24"/>
        </w:rPr>
        <w:t>3. Объем и место научн</w:t>
      </w:r>
      <w:r w:rsidR="008C69A0">
        <w:rPr>
          <w:rFonts w:eastAsiaTheme="majorEastAsia" w:cstheme="majorBidi"/>
          <w:b/>
          <w:szCs w:val="24"/>
        </w:rPr>
        <w:t>о-исследовательской деятельности</w:t>
      </w:r>
      <w:r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CE1AF3" w:rsidP="00016875">
      <w:pPr>
        <w:keepNext/>
        <w:shd w:val="clear" w:color="auto" w:fill="FFFFFF" w:themeFill="background1"/>
        <w:ind w:firstLine="567"/>
        <w:jc w:val="both"/>
        <w:rPr>
          <w:color w:val="000000"/>
          <w:szCs w:val="24"/>
        </w:rPr>
      </w:pPr>
      <w:r w:rsidRPr="00CE1AF3">
        <w:rPr>
          <w:color w:val="000000"/>
          <w:szCs w:val="24"/>
        </w:rPr>
        <w:t>Продолжительность на</w:t>
      </w:r>
      <w:r>
        <w:rPr>
          <w:color w:val="000000"/>
          <w:szCs w:val="24"/>
        </w:rPr>
        <w:t xml:space="preserve">учных исследований по </w:t>
      </w:r>
      <w:r w:rsidR="008C69A0">
        <w:rPr>
          <w:color w:val="000000"/>
          <w:szCs w:val="24"/>
        </w:rPr>
        <w:t>подготовке академической публикации</w:t>
      </w:r>
      <w:r>
        <w:rPr>
          <w:color w:val="000000"/>
          <w:szCs w:val="24"/>
        </w:rPr>
        <w:t xml:space="preserve"> составляет </w:t>
      </w:r>
      <w:r w:rsidR="008C69A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ЗЕ, </w:t>
      </w:r>
      <w:r w:rsidR="008C69A0">
        <w:rPr>
          <w:color w:val="000000"/>
          <w:szCs w:val="24"/>
        </w:rPr>
        <w:t>72</w:t>
      </w:r>
      <w:r>
        <w:rPr>
          <w:color w:val="000000"/>
          <w:szCs w:val="24"/>
        </w:rPr>
        <w:t xml:space="preserve"> час. Данный вид исследований входит в вариативную часть блока 3 «Научные исследования». Она </w:t>
      </w:r>
      <w:r w:rsidR="009602D1">
        <w:rPr>
          <w:color w:val="000000"/>
          <w:szCs w:val="24"/>
        </w:rPr>
        <w:t>предназначена для</w:t>
      </w:r>
      <w:r w:rsidR="002C38C5" w:rsidRPr="00D1638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систематизации знаний и владений инструментальными средствами и ИТ</w:t>
      </w:r>
      <w:r w:rsidR="002C38C5" w:rsidRPr="00D1638D">
        <w:rPr>
          <w:color w:val="000000"/>
          <w:szCs w:val="24"/>
        </w:rPr>
        <w:t xml:space="preserve"> в научно-исследовательской работе. </w:t>
      </w:r>
      <w:r w:rsidR="009602D1">
        <w:rPr>
          <w:color w:val="000000"/>
          <w:szCs w:val="24"/>
        </w:rPr>
        <w:t xml:space="preserve">Она взаимодействует с </w:t>
      </w:r>
      <w:r>
        <w:rPr>
          <w:color w:val="000000"/>
          <w:szCs w:val="24"/>
        </w:rPr>
        <w:t>учебными дисциплинами блока 1</w:t>
      </w:r>
      <w:r w:rsidR="00016875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Б</w:t>
      </w:r>
      <w:r>
        <w:rPr>
          <w:color w:val="000000"/>
          <w:szCs w:val="24"/>
        </w:rPr>
        <w:t>1</w:t>
      </w:r>
      <w:r w:rsidR="009602D1">
        <w:rPr>
          <w:color w:val="000000"/>
          <w:szCs w:val="24"/>
        </w:rPr>
        <w:t>.В.0</w:t>
      </w:r>
      <w:r w:rsidR="00016875">
        <w:rPr>
          <w:color w:val="000000"/>
          <w:szCs w:val="24"/>
        </w:rPr>
        <w:t>1.02 «</w:t>
      </w:r>
      <w:r w:rsidR="00016875" w:rsidRPr="00016875">
        <w:rPr>
          <w:color w:val="000000"/>
          <w:szCs w:val="24"/>
        </w:rPr>
        <w:t xml:space="preserve">Актуальные </w:t>
      </w:r>
      <w:r w:rsidR="000803A9">
        <w:rPr>
          <w:color w:val="000000"/>
          <w:szCs w:val="24"/>
        </w:rPr>
        <w:t>проблемы</w:t>
      </w:r>
      <w:r w:rsidR="009474EB">
        <w:rPr>
          <w:color w:val="000000"/>
          <w:szCs w:val="24"/>
        </w:rPr>
        <w:t xml:space="preserve"> и методология экономических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Б1.В.01.03</w:t>
      </w:r>
      <w:r w:rsidR="00016875">
        <w:rPr>
          <w:color w:val="000000"/>
          <w:szCs w:val="24"/>
        </w:rPr>
        <w:t xml:space="preserve"> «</w:t>
      </w:r>
      <w:r w:rsidR="00016875" w:rsidRPr="00016875">
        <w:rPr>
          <w:color w:val="000000"/>
          <w:szCs w:val="24"/>
        </w:rPr>
        <w:t>Методология теоретических и экспериментальных исследований</w:t>
      </w:r>
      <w:r w:rsidR="00016875">
        <w:rPr>
          <w:color w:val="000000"/>
          <w:szCs w:val="24"/>
        </w:rPr>
        <w:t xml:space="preserve">», </w:t>
      </w:r>
      <w:r w:rsidR="00016875" w:rsidRPr="00016875">
        <w:rPr>
          <w:color w:val="000000"/>
          <w:szCs w:val="24"/>
        </w:rPr>
        <w:t>Б1.В.01.0</w:t>
      </w:r>
      <w:r w:rsidR="00016875">
        <w:rPr>
          <w:color w:val="000000"/>
          <w:szCs w:val="24"/>
        </w:rPr>
        <w:t>4 «</w:t>
      </w:r>
      <w:r w:rsidR="00016875" w:rsidRPr="00016875">
        <w:rPr>
          <w:color w:val="000000"/>
          <w:szCs w:val="24"/>
        </w:rPr>
        <w:t>Современные методы исследования и информационно-коммуникативные технологии</w:t>
      </w:r>
      <w:r w:rsidR="00016875">
        <w:rPr>
          <w:color w:val="000000"/>
          <w:szCs w:val="24"/>
        </w:rPr>
        <w:t xml:space="preserve">», а также с другими организационными формами научно-исследовательской деятельности, определенные в блоке 3 учебного плана. </w:t>
      </w:r>
      <w:r w:rsidR="009602D1">
        <w:rPr>
          <w:color w:val="000000"/>
          <w:szCs w:val="24"/>
        </w:rPr>
        <w:t xml:space="preserve"> 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8C69A0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</w:t>
      </w:r>
      <w:r w:rsidR="002C38C5" w:rsidRPr="00D1638D">
        <w:rPr>
          <w:sz w:val="24"/>
          <w:szCs w:val="24"/>
        </w:rPr>
        <w:t>исследова</w:t>
      </w:r>
      <w:r>
        <w:rPr>
          <w:sz w:val="24"/>
          <w:szCs w:val="24"/>
        </w:rPr>
        <w:t>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8C69A0">
        <w:rPr>
          <w:szCs w:val="24"/>
        </w:rPr>
        <w:t>подготовкой академической публикации</w:t>
      </w:r>
      <w:r w:rsidRPr="00D1638D">
        <w:rPr>
          <w:szCs w:val="24"/>
        </w:rPr>
        <w:t xml:space="preserve"> аспиранта осуществляет его научный руководитель. </w:t>
      </w:r>
      <w:r w:rsidR="00016875">
        <w:rPr>
          <w:szCs w:val="24"/>
        </w:rPr>
        <w:t>Работу по освоению инструментальных средств и ИТ в научной деятельности аспирант осуществляет самостоятельно.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8C69A0" w:rsidP="00630C9E">
            <w:pPr>
              <w:rPr>
                <w:szCs w:val="24"/>
              </w:rPr>
            </w:pPr>
            <w:r>
              <w:rPr>
                <w:szCs w:val="24"/>
              </w:rPr>
              <w:t>Понятие академической публикации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8C69A0">
              <w:rPr>
                <w:iCs/>
                <w:color w:val="000000"/>
                <w:szCs w:val="24"/>
              </w:rPr>
              <w:t>Определение требований к публикации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8C69A0">
              <w:rPr>
                <w:iCs/>
                <w:color w:val="000000"/>
                <w:szCs w:val="24"/>
              </w:rPr>
              <w:t xml:space="preserve">Определение требований к публикации </w:t>
            </w:r>
            <w:r w:rsidR="008C69A0">
              <w:rPr>
                <w:iCs/>
                <w:color w:val="000000"/>
                <w:szCs w:val="24"/>
                <w:lang w:val="en-US"/>
              </w:rPr>
              <w:t>Scopus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B380B" w:rsidRPr="00D1638D" w:rsidRDefault="003355DE" w:rsidP="003B380B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8C69A0">
              <w:rPr>
                <w:iCs/>
                <w:color w:val="000000"/>
                <w:szCs w:val="24"/>
              </w:rPr>
              <w:t>Исследование списка рецензируемых журналов ВАК РФ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3B380B" w:rsidRDefault="008C69A0" w:rsidP="008C69A0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Ана</w:t>
            </w:r>
            <w:r w:rsidR="00500B8E">
              <w:rPr>
                <w:iCs/>
                <w:color w:val="000000"/>
                <w:szCs w:val="24"/>
              </w:rPr>
              <w:t>л</w:t>
            </w:r>
            <w:r>
              <w:rPr>
                <w:iCs/>
                <w:color w:val="000000"/>
                <w:szCs w:val="24"/>
              </w:rPr>
              <w:t>и</w:t>
            </w:r>
            <w:r w:rsidR="00500B8E">
              <w:rPr>
                <w:iCs/>
                <w:color w:val="000000"/>
                <w:szCs w:val="24"/>
              </w:rPr>
              <w:t>з предметной области и формулировка</w:t>
            </w:r>
            <w:r>
              <w:rPr>
                <w:iCs/>
                <w:color w:val="000000"/>
                <w:szCs w:val="24"/>
              </w:rPr>
              <w:t xml:space="preserve">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1B2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Анализ объекта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2. </w:t>
            </w:r>
            <w:r w:rsidR="00500B8E">
              <w:rPr>
                <w:iCs/>
                <w:color w:val="000000"/>
                <w:szCs w:val="24"/>
              </w:rPr>
              <w:t>Анализ публикаций по объекту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3.</w:t>
            </w:r>
            <w:r w:rsidR="00500B8E">
              <w:rPr>
                <w:iCs/>
                <w:color w:val="000000"/>
                <w:szCs w:val="24"/>
              </w:rPr>
              <w:t>Формулировка предмета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E83475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4. </w:t>
            </w:r>
            <w:r w:rsidR="00500B8E">
              <w:rPr>
                <w:iCs/>
                <w:color w:val="000000"/>
                <w:szCs w:val="24"/>
              </w:rPr>
              <w:t>Анализ публикаций по предмету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500B8E" w:rsidRDefault="00E83475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</w:t>
            </w:r>
            <w:r w:rsidRPr="00E83475">
              <w:rPr>
                <w:iCs/>
                <w:color w:val="000000"/>
                <w:szCs w:val="24"/>
              </w:rPr>
              <w:t xml:space="preserve"> </w:t>
            </w:r>
            <w:r w:rsidR="00500B8E">
              <w:rPr>
                <w:iCs/>
                <w:color w:val="000000"/>
                <w:szCs w:val="24"/>
              </w:rPr>
              <w:t>Подготовка аннотируемой библиографии по предмету исследования.</w:t>
            </w:r>
          </w:p>
          <w:p w:rsidR="00E83475" w:rsidRDefault="00500B8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Формулировка проблемы исследования и постановка задач исследования.</w:t>
            </w:r>
            <w:r w:rsidR="00E83475">
              <w:rPr>
                <w:iCs/>
                <w:color w:val="000000"/>
                <w:szCs w:val="24"/>
              </w:rPr>
              <w:t xml:space="preserve"> </w:t>
            </w:r>
          </w:p>
          <w:p w:rsidR="003B380B" w:rsidRPr="003B380B" w:rsidRDefault="003B380B" w:rsidP="003B380B">
            <w:pPr>
              <w:jc w:val="both"/>
              <w:rPr>
                <w:iCs/>
                <w:color w:val="000000"/>
                <w:szCs w:val="24"/>
              </w:rPr>
            </w:pP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500B8E" w:rsidP="003355DE">
            <w:pPr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Формирование материалов статьи, содержащей постановку проблемы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1.</w:t>
            </w:r>
            <w:r w:rsidR="00500B8E">
              <w:rPr>
                <w:iCs/>
                <w:color w:val="000000"/>
                <w:szCs w:val="24"/>
              </w:rPr>
              <w:t>Подготовка материалов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2.</w:t>
            </w:r>
            <w:r w:rsidR="00500B8E">
              <w:rPr>
                <w:iCs/>
                <w:color w:val="000000"/>
                <w:szCs w:val="24"/>
              </w:rPr>
              <w:t>Разработка статьи по проблеме исследования</w:t>
            </w:r>
            <w:r>
              <w:rPr>
                <w:iCs/>
                <w:color w:val="000000"/>
                <w:szCs w:val="24"/>
              </w:rPr>
              <w:t>.</w:t>
            </w:r>
          </w:p>
          <w:p w:rsidR="003B380B" w:rsidRDefault="003B380B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 xml:space="preserve">3. </w:t>
            </w:r>
            <w:r w:rsidR="00500B8E">
              <w:rPr>
                <w:iCs/>
                <w:color w:val="000000"/>
                <w:szCs w:val="24"/>
              </w:rPr>
              <w:t>Представление статьи на рецензирование научному руководителю.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4. Исправление замечаний научного руководителя.</w:t>
            </w:r>
          </w:p>
          <w:p w:rsidR="00500B8E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5. Представление на рецензирование внешнему рецензенту.</w:t>
            </w:r>
          </w:p>
          <w:p w:rsidR="00500B8E" w:rsidRPr="003B380B" w:rsidRDefault="00500B8E" w:rsidP="00500B8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>
              <w:rPr>
                <w:iCs/>
                <w:color w:val="000000"/>
                <w:szCs w:val="24"/>
              </w:rPr>
              <w:t>6. Представление статьи для публикации.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500B8E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="00500B8E">
        <w:rPr>
          <w:sz w:val="24"/>
          <w:szCs w:val="24"/>
        </w:rPr>
        <w:t xml:space="preserve">и методы </w:t>
      </w:r>
      <w:r w:rsidRPr="00D1638D">
        <w:rPr>
          <w:sz w:val="24"/>
          <w:szCs w:val="24"/>
        </w:rPr>
        <w:t>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285D67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Материалы статьи</w:t>
      </w:r>
      <w:r w:rsidR="00824F71">
        <w:rPr>
          <w:rFonts w:eastAsia="MS Mincho"/>
          <w:szCs w:val="24"/>
          <w:lang w:eastAsia="ru-RU"/>
        </w:rPr>
        <w:t>.</w:t>
      </w:r>
    </w:p>
    <w:p w:rsidR="00824F71" w:rsidRPr="003B380B" w:rsidRDefault="00500B8E" w:rsidP="003B380B">
      <w:pPr>
        <w:pStyle w:val="a5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jc w:val="both"/>
        <w:rPr>
          <w:rFonts w:eastAsia="MS Mincho"/>
          <w:szCs w:val="24"/>
          <w:lang w:eastAsia="ru-RU"/>
        </w:rPr>
      </w:pPr>
      <w:r>
        <w:rPr>
          <w:rFonts w:eastAsia="MS Mincho"/>
          <w:szCs w:val="24"/>
          <w:lang w:eastAsia="ru-RU"/>
        </w:rPr>
        <w:t>Результаты публикации статьи</w:t>
      </w:r>
      <w:r w:rsidR="00824F71">
        <w:rPr>
          <w:rFonts w:eastAsia="MS Mincho"/>
          <w:szCs w:val="24"/>
          <w:lang w:eastAsia="ru-RU"/>
        </w:rPr>
        <w:t>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0803A9" w:rsidRPr="00D632B9" w:rsidRDefault="000803A9" w:rsidP="000803A9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803A9" w:rsidRDefault="000803A9" w:rsidP="000803A9">
      <w:pPr>
        <w:pStyle w:val="a5"/>
        <w:ind w:left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0803A9" w:rsidRDefault="000803A9" w:rsidP="000803A9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824F71" w:rsidRDefault="00824F71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Гаврилов Н.В., Климов В.А. Информатика и информационные технологии</w:t>
      </w:r>
      <w:r w:rsidR="00E83475">
        <w:rPr>
          <w:szCs w:val="24"/>
        </w:rPr>
        <w:t xml:space="preserve">: </w:t>
      </w:r>
      <w:r w:rsidR="00E83475" w:rsidRPr="00E83475">
        <w:rPr>
          <w:szCs w:val="24"/>
        </w:rPr>
        <w:t>[</w:t>
      </w:r>
      <w:r w:rsidR="00E83475">
        <w:rPr>
          <w:szCs w:val="24"/>
        </w:rPr>
        <w:t>Электронный ресурс</w:t>
      </w:r>
      <w:r w:rsidR="00E83475" w:rsidRPr="00E83475">
        <w:rPr>
          <w:szCs w:val="24"/>
        </w:rPr>
        <w:t>]</w:t>
      </w:r>
      <w:r>
        <w:rPr>
          <w:szCs w:val="24"/>
        </w:rPr>
        <w:t xml:space="preserve">. </w:t>
      </w:r>
      <w:r w:rsidR="00E83475">
        <w:rPr>
          <w:szCs w:val="24"/>
        </w:rPr>
        <w:t>–</w:t>
      </w:r>
      <w:r>
        <w:rPr>
          <w:szCs w:val="24"/>
        </w:rPr>
        <w:t xml:space="preserve"> </w:t>
      </w:r>
      <w:r w:rsidR="00E83475">
        <w:rPr>
          <w:szCs w:val="24"/>
        </w:rPr>
        <w:t>М.: Юрайт, 2018.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4510EA" w:rsidRPr="00D1638D" w:rsidRDefault="004510EA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 xml:space="preserve">Правила оформления текстовых документов. ГОСТ 7.32-2017. –М.: </w:t>
      </w:r>
      <w:r w:rsidR="00175610">
        <w:rPr>
          <w:szCs w:val="24"/>
        </w:rPr>
        <w:t>СтандартИнформ, 2017.</w:t>
      </w:r>
    </w:p>
    <w:p w:rsidR="005C79FB" w:rsidRPr="00D1638D" w:rsidRDefault="005C79FB" w:rsidP="00E83475">
      <w:pPr>
        <w:pStyle w:val="a5"/>
        <w:jc w:val="both"/>
        <w:rPr>
          <w:szCs w:val="24"/>
        </w:rPr>
      </w:pP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литературы, а также необходимыми программными средствами, средствами проверки на антиплагиат.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47" w:rsidRDefault="00DC2147" w:rsidP="00371545">
      <w:r>
        <w:separator/>
      </w:r>
    </w:p>
  </w:endnote>
  <w:endnote w:type="continuationSeparator" w:id="0">
    <w:p w:rsidR="00DC2147" w:rsidRDefault="00DC2147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807316" w:rsidRDefault="00E60A02">
        <w:pPr>
          <w:pStyle w:val="a8"/>
          <w:jc w:val="right"/>
        </w:pPr>
        <w:r>
          <w:rPr>
            <w:noProof/>
          </w:rPr>
          <w:fldChar w:fldCharType="begin"/>
        </w:r>
        <w:r w:rsidR="0080731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03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07316" w:rsidRDefault="008073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47" w:rsidRDefault="00DC2147" w:rsidP="00371545">
      <w:r>
        <w:separator/>
      </w:r>
    </w:p>
  </w:footnote>
  <w:footnote w:type="continuationSeparator" w:id="0">
    <w:p w:rsidR="00DC2147" w:rsidRDefault="00DC2147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DFC53AA"/>
    <w:multiLevelType w:val="hybridMultilevel"/>
    <w:tmpl w:val="E15C286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2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36"/>
  </w:num>
  <w:num w:numId="15">
    <w:abstractNumId w:val="38"/>
  </w:num>
  <w:num w:numId="16">
    <w:abstractNumId w:val="33"/>
  </w:num>
  <w:num w:numId="17">
    <w:abstractNumId w:val="28"/>
  </w:num>
  <w:num w:numId="18">
    <w:abstractNumId w:val="35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22"/>
  </w:num>
  <w:num w:numId="24">
    <w:abstractNumId w:val="12"/>
  </w:num>
  <w:num w:numId="25">
    <w:abstractNumId w:val="32"/>
  </w:num>
  <w:num w:numId="26">
    <w:abstractNumId w:val="40"/>
  </w:num>
  <w:num w:numId="27">
    <w:abstractNumId w:val="5"/>
  </w:num>
  <w:num w:numId="28">
    <w:abstractNumId w:val="21"/>
  </w:num>
  <w:num w:numId="29">
    <w:abstractNumId w:val="6"/>
  </w:num>
  <w:num w:numId="30">
    <w:abstractNumId w:val="39"/>
  </w:num>
  <w:num w:numId="31">
    <w:abstractNumId w:val="37"/>
  </w:num>
  <w:num w:numId="32">
    <w:abstractNumId w:val="30"/>
  </w:num>
  <w:num w:numId="33">
    <w:abstractNumId w:val="17"/>
  </w:num>
  <w:num w:numId="34">
    <w:abstractNumId w:val="7"/>
  </w:num>
  <w:num w:numId="35">
    <w:abstractNumId w:val="14"/>
  </w:num>
  <w:num w:numId="36">
    <w:abstractNumId w:val="3"/>
  </w:num>
  <w:num w:numId="37">
    <w:abstractNumId w:val="11"/>
  </w:num>
  <w:num w:numId="38">
    <w:abstractNumId w:val="2"/>
  </w:num>
  <w:num w:numId="39">
    <w:abstractNumId w:val="34"/>
  </w:num>
  <w:num w:numId="40">
    <w:abstractNumId w:val="10"/>
  </w:num>
  <w:num w:numId="4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16875"/>
    <w:rsid w:val="00044C82"/>
    <w:rsid w:val="00046B43"/>
    <w:rsid w:val="00074AA6"/>
    <w:rsid w:val="000803A9"/>
    <w:rsid w:val="000E3710"/>
    <w:rsid w:val="000F3993"/>
    <w:rsid w:val="00103B2E"/>
    <w:rsid w:val="001157AF"/>
    <w:rsid w:val="0015588A"/>
    <w:rsid w:val="00156915"/>
    <w:rsid w:val="0017201F"/>
    <w:rsid w:val="00175610"/>
    <w:rsid w:val="00192035"/>
    <w:rsid w:val="001A034E"/>
    <w:rsid w:val="001B4E8A"/>
    <w:rsid w:val="001C4303"/>
    <w:rsid w:val="00224AE2"/>
    <w:rsid w:val="002315C1"/>
    <w:rsid w:val="00244C81"/>
    <w:rsid w:val="00264642"/>
    <w:rsid w:val="00285D67"/>
    <w:rsid w:val="002952A4"/>
    <w:rsid w:val="002C2CB5"/>
    <w:rsid w:val="002C331E"/>
    <w:rsid w:val="002C38C5"/>
    <w:rsid w:val="002C5265"/>
    <w:rsid w:val="003355DE"/>
    <w:rsid w:val="00341E3D"/>
    <w:rsid w:val="0035312F"/>
    <w:rsid w:val="00371545"/>
    <w:rsid w:val="003B3404"/>
    <w:rsid w:val="003B380B"/>
    <w:rsid w:val="00446436"/>
    <w:rsid w:val="004510EA"/>
    <w:rsid w:val="004517FB"/>
    <w:rsid w:val="0045571C"/>
    <w:rsid w:val="004641B2"/>
    <w:rsid w:val="004665CA"/>
    <w:rsid w:val="00483B4D"/>
    <w:rsid w:val="004A3C2D"/>
    <w:rsid w:val="00500B8E"/>
    <w:rsid w:val="00517B15"/>
    <w:rsid w:val="00526CF5"/>
    <w:rsid w:val="00550B4E"/>
    <w:rsid w:val="00582431"/>
    <w:rsid w:val="005C3640"/>
    <w:rsid w:val="005C79FB"/>
    <w:rsid w:val="00630C9E"/>
    <w:rsid w:val="00647166"/>
    <w:rsid w:val="0064740D"/>
    <w:rsid w:val="006C7028"/>
    <w:rsid w:val="006F6CEF"/>
    <w:rsid w:val="00710DE0"/>
    <w:rsid w:val="00720C54"/>
    <w:rsid w:val="00737B7A"/>
    <w:rsid w:val="00765A71"/>
    <w:rsid w:val="00771497"/>
    <w:rsid w:val="00776755"/>
    <w:rsid w:val="007827F5"/>
    <w:rsid w:val="00807316"/>
    <w:rsid w:val="00824F71"/>
    <w:rsid w:val="008409AA"/>
    <w:rsid w:val="008825FC"/>
    <w:rsid w:val="008828DF"/>
    <w:rsid w:val="008C69A0"/>
    <w:rsid w:val="009027A8"/>
    <w:rsid w:val="009133D9"/>
    <w:rsid w:val="009474EB"/>
    <w:rsid w:val="009602D1"/>
    <w:rsid w:val="00981C7E"/>
    <w:rsid w:val="009B5198"/>
    <w:rsid w:val="009E4FC8"/>
    <w:rsid w:val="009F0D79"/>
    <w:rsid w:val="00A278AD"/>
    <w:rsid w:val="00A46161"/>
    <w:rsid w:val="00A9060D"/>
    <w:rsid w:val="00A962C5"/>
    <w:rsid w:val="00AB0BA0"/>
    <w:rsid w:val="00AF73E9"/>
    <w:rsid w:val="00B21E6A"/>
    <w:rsid w:val="00B50D86"/>
    <w:rsid w:val="00B70CE8"/>
    <w:rsid w:val="00B74D59"/>
    <w:rsid w:val="00B91CB9"/>
    <w:rsid w:val="00C2079E"/>
    <w:rsid w:val="00C2346C"/>
    <w:rsid w:val="00C533CB"/>
    <w:rsid w:val="00C63886"/>
    <w:rsid w:val="00C7184D"/>
    <w:rsid w:val="00C72DBB"/>
    <w:rsid w:val="00C90913"/>
    <w:rsid w:val="00CC30EA"/>
    <w:rsid w:val="00CD149D"/>
    <w:rsid w:val="00CD47AF"/>
    <w:rsid w:val="00CE1AF3"/>
    <w:rsid w:val="00D1638D"/>
    <w:rsid w:val="00D2097E"/>
    <w:rsid w:val="00DA2CF3"/>
    <w:rsid w:val="00DC2147"/>
    <w:rsid w:val="00E0355F"/>
    <w:rsid w:val="00E341B2"/>
    <w:rsid w:val="00E45059"/>
    <w:rsid w:val="00E47CC1"/>
    <w:rsid w:val="00E60A02"/>
    <w:rsid w:val="00E75862"/>
    <w:rsid w:val="00E83475"/>
    <w:rsid w:val="00E92C30"/>
    <w:rsid w:val="00E95E13"/>
    <w:rsid w:val="00EB1C09"/>
    <w:rsid w:val="00ED47FA"/>
    <w:rsid w:val="00F06CB5"/>
    <w:rsid w:val="00F10E4B"/>
    <w:rsid w:val="00F13329"/>
    <w:rsid w:val="00F370F0"/>
    <w:rsid w:val="00F4392A"/>
    <w:rsid w:val="00F95351"/>
    <w:rsid w:val="00FA0762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631B"/>
  <w15:docId w15:val="{C8E2279A-A7DC-4D99-B3AA-E87570D6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9B519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FB92-A1E9-465F-A431-AFAB78AB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28</cp:revision>
  <cp:lastPrinted>2018-02-01T10:45:00Z</cp:lastPrinted>
  <dcterms:created xsi:type="dcterms:W3CDTF">2018-09-11T17:11:00Z</dcterms:created>
  <dcterms:modified xsi:type="dcterms:W3CDTF">2021-10-06T06:48:00Z</dcterms:modified>
</cp:coreProperties>
</file>