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proofErr w:type="gramStart"/>
      <w:r w:rsidR="000645A3">
        <w:rPr>
          <w:szCs w:val="24"/>
        </w:rPr>
        <w:t>бизнес-информатики</w:t>
      </w:r>
      <w:proofErr w:type="gramEnd"/>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E45059" w:rsidRDefault="00E45059" w:rsidP="00E45059">
            <w:pPr>
              <w:ind w:firstLine="459"/>
              <w:rPr>
                <w:szCs w:val="24"/>
              </w:rPr>
            </w:pPr>
            <w:r>
              <w:rPr>
                <w:color w:val="000000"/>
                <w:szCs w:val="24"/>
              </w:rPr>
              <w:t>Протокол от «</w:t>
            </w:r>
            <w:r>
              <w:rPr>
                <w:color w:val="000000"/>
                <w:szCs w:val="24"/>
                <w:lang w:val="en-US"/>
              </w:rPr>
              <w:t>1</w:t>
            </w:r>
            <w:r w:rsidR="000645A3">
              <w:rPr>
                <w:color w:val="000000"/>
                <w:szCs w:val="24"/>
              </w:rPr>
              <w:t>5</w:t>
            </w:r>
            <w:r>
              <w:rPr>
                <w:color w:val="000000"/>
                <w:szCs w:val="24"/>
              </w:rPr>
              <w:t xml:space="preserve">» </w:t>
            </w:r>
            <w:r w:rsidR="000645A3">
              <w:rPr>
                <w:color w:val="000000"/>
                <w:szCs w:val="24"/>
              </w:rPr>
              <w:t>июня</w:t>
            </w:r>
            <w:r>
              <w:rPr>
                <w:color w:val="000000"/>
                <w:szCs w:val="24"/>
              </w:rPr>
              <w:t xml:space="preserve"> 201</w:t>
            </w:r>
            <w:r w:rsidR="000645A3">
              <w:rPr>
                <w:color w:val="000000"/>
                <w:szCs w:val="24"/>
              </w:rPr>
              <w:t>8</w:t>
            </w:r>
            <w:r>
              <w:rPr>
                <w:color w:val="000000"/>
                <w:szCs w:val="24"/>
              </w:rPr>
              <w:t xml:space="preserve"> г. № </w:t>
            </w:r>
            <w:r w:rsidR="000645A3">
              <w:rPr>
                <w:color w:val="000000"/>
                <w:szCs w:val="24"/>
              </w:rPr>
              <w:t>4</w:t>
            </w:r>
            <w:bookmarkStart w:id="0" w:name="_GoBack"/>
            <w:bookmarkEnd w:id="0"/>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Системный анализ, управление и обработка информации</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771497" w:rsidRDefault="00446436" w:rsidP="00446436">
      <w:pPr>
        <w:ind w:firstLine="567"/>
        <w:jc w:val="center"/>
        <w:rPr>
          <w:szCs w:val="24"/>
        </w:rPr>
      </w:pPr>
      <w:r w:rsidRPr="00D1638D">
        <w:rPr>
          <w:szCs w:val="24"/>
        </w:rPr>
        <w:t>Год набора -201</w:t>
      </w:r>
      <w:r w:rsidR="00771497">
        <w:rPr>
          <w:szCs w:val="24"/>
        </w:rPr>
        <w:t>8</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771497">
        <w:rPr>
          <w:szCs w:val="24"/>
        </w:rPr>
        <w:t>8</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r w:rsidRPr="00D1638D">
              <w:rPr>
                <w:szCs w:val="24"/>
              </w:rPr>
              <w:lastRenderedPageBreak/>
              <w:t>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 xml:space="preserve">способностью </w:t>
            </w:r>
            <w:r w:rsidRPr="00D1638D">
              <w:rPr>
                <w:szCs w:val="24"/>
              </w:rPr>
              <w:lastRenderedPageBreak/>
              <w:t>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lastRenderedPageBreak/>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 xml:space="preserve">Способность представлять </w:t>
            </w:r>
            <w:r w:rsidRPr="00D1638D">
              <w:rPr>
                <w:szCs w:val="24"/>
              </w:rPr>
              <w:lastRenderedPageBreak/>
              <w:t>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 xml:space="preserve">Способность проводить анализ подготовленных материалов на </w:t>
            </w:r>
            <w:proofErr w:type="spellStart"/>
            <w:r w:rsidRPr="00D1638D">
              <w:rPr>
                <w:szCs w:val="24"/>
              </w:rPr>
              <w:t>антиплагиат</w:t>
            </w:r>
            <w:proofErr w:type="spellEnd"/>
            <w:r w:rsidRPr="00D1638D">
              <w:rPr>
                <w:szCs w:val="24"/>
              </w:rPr>
              <w:t>,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 xml:space="preserve">владеть способностью разработки критериев и моделей описания и оценки эффективности решения задач </w:t>
            </w:r>
            <w:r w:rsidRPr="00D1638D">
              <w:rPr>
                <w:szCs w:val="24"/>
              </w:rPr>
              <w:lastRenderedPageBreak/>
              <w:t>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 xml:space="preserve">Способность разработки </w:t>
            </w:r>
            <w:r w:rsidRPr="00D1638D">
              <w:rPr>
                <w:szCs w:val="24"/>
              </w:rPr>
              <w:lastRenderedPageBreak/>
              <w:t>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 xml:space="preserve">владеть организацией применения информационных технологий при </w:t>
            </w:r>
            <w:r w:rsidRPr="00D1638D">
              <w:rPr>
                <w:szCs w:val="24"/>
              </w:rPr>
              <w:lastRenderedPageBreak/>
              <w:t>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 xml:space="preserve">владеть организацией применения информационных технологий при решении </w:t>
            </w:r>
            <w:r w:rsidRPr="00D1638D">
              <w:rPr>
                <w:szCs w:val="24"/>
              </w:rPr>
              <w:lastRenderedPageBreak/>
              <w:t>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 xml:space="preserve">(при наличии </w:t>
            </w:r>
            <w:proofErr w:type="spellStart"/>
            <w:r w:rsidRPr="00D1638D">
              <w:rPr>
                <w:szCs w:val="24"/>
              </w:rPr>
              <w:t>профстандарта</w:t>
            </w:r>
            <w:proofErr w:type="spellEnd"/>
            <w:r w:rsidRPr="00D1638D">
              <w:rPr>
                <w:szCs w:val="24"/>
              </w:rPr>
              <w:t>)</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методологию системного анализа для описания и исследования </w:t>
            </w:r>
            <w:r w:rsidRPr="00D1638D">
              <w:rPr>
                <w:szCs w:val="24"/>
              </w:rPr>
              <w:lastRenderedPageBreak/>
              <w:t>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алгоритмы решения задач </w:t>
            </w:r>
            <w:r w:rsidRPr="00D1638D">
              <w:rPr>
                <w:color w:val="000000"/>
                <w:szCs w:val="24"/>
              </w:rPr>
              <w:lastRenderedPageBreak/>
              <w:t>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w:t>
            </w:r>
            <w:r w:rsidRPr="00D1638D">
              <w:rPr>
                <w:b w:val="0"/>
                <w:color w:val="000000" w:themeColor="text1"/>
                <w:szCs w:val="24"/>
              </w:rPr>
              <w:lastRenderedPageBreak/>
              <w:t>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lastRenderedPageBreak/>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lastRenderedPageBreak/>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 xml:space="preserve">правлению проектами в области ИТ любого масштаба в условиях высокой неопределенности, вызываемой запросами на изменения и рисками, и с </w:t>
            </w:r>
            <w:r w:rsidRPr="00D1638D">
              <w:rPr>
                <w:b w:val="0"/>
                <w:szCs w:val="24"/>
              </w:rPr>
              <w:lastRenderedPageBreak/>
              <w:t>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w:t>
            </w:r>
            <w:r w:rsidRPr="00D1638D">
              <w:rPr>
                <w:b w:val="0"/>
                <w:color w:val="000000" w:themeColor="text1"/>
                <w:szCs w:val="24"/>
                <w:shd w:val="clear" w:color="auto" w:fill="FFFFFF"/>
              </w:rPr>
              <w:lastRenderedPageBreak/>
              <w:t>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 xml:space="preserve">методы и технологии эффективной презентации, лекции и др. форм </w:t>
            </w:r>
            <w:r w:rsidRPr="00D1638D">
              <w:rPr>
                <w:bCs/>
                <w:sz w:val="24"/>
              </w:rPr>
              <w:lastRenderedPageBreak/>
              <w:t>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 xml:space="preserve">основные положения системного анализа; основные классы математических моделей, используемых при решении задач </w:t>
            </w:r>
            <w:r w:rsidRPr="00D1638D">
              <w:rPr>
                <w:rStyle w:val="FontStyle14"/>
                <w:sz w:val="24"/>
                <w:szCs w:val="24"/>
              </w:rPr>
              <w:lastRenderedPageBreak/>
              <w:t>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w:t>
            </w:r>
            <w:proofErr w:type="gramStart"/>
            <w:r w:rsidRPr="00D1638D">
              <w:rPr>
                <w:rStyle w:val="FontStyle14"/>
                <w:sz w:val="24"/>
                <w:szCs w:val="24"/>
              </w:rPr>
              <w:t xml:space="preserve"> ;</w:t>
            </w:r>
            <w:proofErr w:type="gramEnd"/>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lastRenderedPageBreak/>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 xml:space="preserve">использовать методы и алгоритмы прогнозирования и оценки эффективности и </w:t>
            </w:r>
            <w:r w:rsidRPr="00D1638D">
              <w:rPr>
                <w:color w:val="000000"/>
                <w:szCs w:val="24"/>
              </w:rPr>
              <w:lastRenderedPageBreak/>
              <w:t>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D1638D">
              <w:rPr>
                <w:b w:val="0"/>
                <w:color w:val="000000" w:themeColor="text1"/>
                <w:szCs w:val="24"/>
              </w:rPr>
              <w:lastRenderedPageBreak/>
              <w:t>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 xml:space="preserve">роль теории принятия оптимальных решений в современном мире, мировой </w:t>
            </w:r>
            <w:r w:rsidRPr="00D1638D">
              <w:rPr>
                <w:rStyle w:val="FontStyle14"/>
                <w:sz w:val="24"/>
                <w:szCs w:val="24"/>
              </w:rPr>
              <w:lastRenderedPageBreak/>
              <w:t>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w:t>
            </w:r>
            <w:r w:rsidRPr="00D1638D">
              <w:rPr>
                <w:b w:val="0"/>
                <w:color w:val="000000" w:themeColor="text1"/>
                <w:szCs w:val="24"/>
              </w:rPr>
              <w:lastRenderedPageBreak/>
              <w:t>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lastRenderedPageBreak/>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современными инфокоммуникационными технологиями; методикой научного исследования сложных систем; методикой написания </w:t>
            </w:r>
            <w:r w:rsidRPr="00D1638D">
              <w:rPr>
                <w:szCs w:val="24"/>
              </w:rPr>
              <w:lastRenderedPageBreak/>
              <w:t>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-культурой решения задач системного </w:t>
            </w:r>
            <w:r w:rsidRPr="00D1638D">
              <w:rPr>
                <w:szCs w:val="24"/>
              </w:rPr>
              <w:lastRenderedPageBreak/>
              <w:t>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w:t>
            </w:r>
            <w:r w:rsidRPr="00D1638D">
              <w:rPr>
                <w:b w:val="0"/>
                <w:color w:val="000000" w:themeColor="text1"/>
                <w:szCs w:val="24"/>
              </w:rPr>
              <w:lastRenderedPageBreak/>
              <w:t>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теоретические основы макроэкономического анализа для разработки </w:t>
            </w:r>
            <w:r w:rsidRPr="00D1638D">
              <w:rPr>
                <w:szCs w:val="24"/>
              </w:rPr>
              <w:lastRenderedPageBreak/>
              <w:t>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1" w:name="Par72"/>
      <w:bookmarkEnd w:id="1"/>
      <w:r w:rsidRPr="00D1638D">
        <w:rPr>
          <w:color w:val="000000"/>
          <w:szCs w:val="24"/>
        </w:rPr>
        <w:lastRenderedPageBreak/>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Утверждение темы на заседании методической комиссии</w:t>
            </w:r>
            <w:proofErr w:type="gramStart"/>
            <w:r w:rsidR="00E341B2" w:rsidRPr="00D1638D">
              <w:rPr>
                <w:iCs/>
                <w:color w:val="000000"/>
                <w:szCs w:val="24"/>
              </w:rPr>
              <w:t xml:space="preserve"> </w:t>
            </w:r>
            <w:r w:rsidRPr="00D1638D">
              <w:rPr>
                <w:iCs/>
                <w:color w:val="000000"/>
                <w:szCs w:val="24"/>
              </w:rPr>
              <w:t>.</w:t>
            </w:r>
            <w:proofErr w:type="gramEnd"/>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lastRenderedPageBreak/>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w:t>
            </w:r>
            <w:r w:rsidRPr="00D1638D">
              <w:rPr>
                <w:rFonts w:eastAsia="Times New Roman"/>
                <w:szCs w:val="24"/>
                <w:lang w:eastAsia="ru-RU"/>
              </w:rPr>
              <w:lastRenderedPageBreak/>
              <w:t xml:space="preserve">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lastRenderedPageBreak/>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lastRenderedPageBreak/>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w:t>
            </w:r>
            <w:proofErr w:type="spellStart"/>
            <w:r w:rsidRPr="00D1638D">
              <w:rPr>
                <w:szCs w:val="24"/>
              </w:rPr>
              <w:t>антиплагиат</w:t>
            </w:r>
            <w:proofErr w:type="spellEnd"/>
            <w:r w:rsidRPr="00D1638D">
              <w:rPr>
                <w:szCs w:val="24"/>
              </w:rPr>
              <w:t xml:space="preserve">,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 xml:space="preserve">и методы текущего контроля успеваемости </w:t>
      </w:r>
      <w:proofErr w:type="gramStart"/>
      <w:r w:rsidRPr="00D1638D">
        <w:rPr>
          <w:sz w:val="24"/>
          <w:szCs w:val="24"/>
        </w:rPr>
        <w:t>обучающихся</w:t>
      </w:r>
      <w:proofErr w:type="gramEnd"/>
      <w:r w:rsidRPr="00D1638D">
        <w:rPr>
          <w:sz w:val="24"/>
          <w:szCs w:val="24"/>
        </w:rPr>
        <w:t xml:space="preserve">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lastRenderedPageBreak/>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 xml:space="preserve">Анализ предметной области, формулировка проблемы и решаемых </w:t>
            </w:r>
            <w:r>
              <w:lastRenderedPageBreak/>
              <w:t>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lastRenderedPageBreak/>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w:t>
            </w:r>
            <w:r w:rsidRPr="00D1638D">
              <w:rPr>
                <w:szCs w:val="24"/>
              </w:rPr>
              <w:lastRenderedPageBreak/>
              <w:t xml:space="preserve">источники </w:t>
            </w:r>
          </w:p>
        </w:tc>
        <w:tc>
          <w:tcPr>
            <w:tcW w:w="886" w:type="pct"/>
          </w:tcPr>
          <w:p w:rsidR="009133D9" w:rsidRPr="00D1638D" w:rsidRDefault="009133D9" w:rsidP="009F0D79">
            <w:pPr>
              <w:tabs>
                <w:tab w:val="left" w:pos="480"/>
                <w:tab w:val="left" w:pos="540"/>
              </w:tabs>
              <w:rPr>
                <w:szCs w:val="24"/>
              </w:rPr>
            </w:pPr>
            <w:r w:rsidRPr="00D1638D">
              <w:rPr>
                <w:szCs w:val="24"/>
              </w:rPr>
              <w:lastRenderedPageBreak/>
              <w:t xml:space="preserve">В целом, </w:t>
            </w:r>
            <w:r w:rsidR="009F0D79">
              <w:rPr>
                <w:szCs w:val="24"/>
              </w:rPr>
              <w:t>анализ произведен</w:t>
            </w:r>
            <w:r w:rsidRPr="00D1638D">
              <w:rPr>
                <w:szCs w:val="24"/>
              </w:rPr>
              <w:t xml:space="preserve">, но присутствуют отдельные </w:t>
            </w:r>
            <w:r w:rsidRPr="00D1638D">
              <w:rPr>
                <w:szCs w:val="24"/>
              </w:rPr>
              <w:lastRenderedPageBreak/>
              <w:t xml:space="preserve">замечания </w:t>
            </w:r>
          </w:p>
        </w:tc>
        <w:tc>
          <w:tcPr>
            <w:tcW w:w="922" w:type="pct"/>
          </w:tcPr>
          <w:p w:rsidR="009133D9" w:rsidRPr="00D1638D" w:rsidRDefault="009F0D79" w:rsidP="00E92C30">
            <w:pPr>
              <w:tabs>
                <w:tab w:val="left" w:pos="540"/>
                <w:tab w:val="left" w:pos="1180"/>
              </w:tabs>
              <w:rPr>
                <w:szCs w:val="24"/>
              </w:rPr>
            </w:pPr>
            <w:r>
              <w:rPr>
                <w:szCs w:val="24"/>
              </w:rPr>
              <w:lastRenderedPageBreak/>
              <w:t xml:space="preserve">Задача анализа предметной области решена, сформулированы объект и </w:t>
            </w:r>
            <w:r>
              <w:rPr>
                <w:szCs w:val="24"/>
              </w:rPr>
              <w:lastRenderedPageBreak/>
              <w:t>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 xml:space="preserve">Коммуникативная </w:t>
            </w:r>
            <w:proofErr w:type="spellStart"/>
            <w:r w:rsidRPr="00D1638D">
              <w:rPr>
                <w:szCs w:val="24"/>
              </w:rPr>
              <w:t>компетент</w:t>
            </w:r>
            <w:proofErr w:type="spellEnd"/>
            <w:r w:rsidRPr="00D1638D">
              <w:rPr>
                <w:szCs w:val="24"/>
              </w:rPr>
              <w:t>-</w:t>
            </w:r>
          </w:p>
          <w:p w:rsidR="009133D9" w:rsidRPr="00D1638D" w:rsidRDefault="009133D9" w:rsidP="00E92C30">
            <w:pPr>
              <w:rPr>
                <w:szCs w:val="24"/>
              </w:rPr>
            </w:pPr>
            <w:proofErr w:type="spellStart"/>
            <w:r w:rsidRPr="00D1638D">
              <w:rPr>
                <w:szCs w:val="24"/>
              </w:rPr>
              <w:t>ность</w:t>
            </w:r>
            <w:proofErr w:type="spellEnd"/>
            <w:r w:rsidRPr="00D1638D">
              <w:rPr>
                <w:szCs w:val="24"/>
              </w:rPr>
              <w:t xml:space="preserve">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w:t>
            </w:r>
            <w:proofErr w:type="spellStart"/>
            <w:r w:rsidRPr="00D1638D">
              <w:rPr>
                <w:szCs w:val="24"/>
              </w:rPr>
              <w:t>см.п</w:t>
            </w:r>
            <w:proofErr w:type="spellEnd"/>
            <w:r w:rsidRPr="00D1638D">
              <w:rPr>
                <w:szCs w:val="24"/>
              </w:rPr>
              <w:t xml:space="preserve">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w:t>
            </w:r>
            <w:r w:rsidRPr="00D1638D">
              <w:rPr>
                <w:szCs w:val="24"/>
              </w:rPr>
              <w:lastRenderedPageBreak/>
              <w:t xml:space="preserve">права </w:t>
            </w:r>
          </w:p>
        </w:tc>
        <w:tc>
          <w:tcPr>
            <w:tcW w:w="922" w:type="pct"/>
          </w:tcPr>
          <w:p w:rsidR="009133D9" w:rsidRPr="00D1638D" w:rsidRDefault="009133D9" w:rsidP="00E92C30">
            <w:pPr>
              <w:rPr>
                <w:szCs w:val="24"/>
              </w:rPr>
            </w:pPr>
            <w:r w:rsidRPr="00D1638D">
              <w:rPr>
                <w:szCs w:val="24"/>
              </w:rPr>
              <w:lastRenderedPageBreak/>
              <w:t xml:space="preserve">В статье присутствуют грубые нарушения </w:t>
            </w:r>
            <w:r w:rsidRPr="00D1638D">
              <w:rPr>
                <w:szCs w:val="24"/>
              </w:rPr>
              <w:lastRenderedPageBreak/>
              <w:t xml:space="preserve">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lastRenderedPageBreak/>
              <w:t xml:space="preserve">В целом статья оформлена в соответствие </w:t>
            </w:r>
            <w:r w:rsidRPr="00D1638D">
              <w:rPr>
                <w:szCs w:val="24"/>
              </w:rPr>
              <w:lastRenderedPageBreak/>
              <w:t xml:space="preserve">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lastRenderedPageBreak/>
              <w:t xml:space="preserve">Статья оформлена в полном  соответствии с </w:t>
            </w:r>
            <w:r w:rsidRPr="00D1638D">
              <w:rPr>
                <w:szCs w:val="24"/>
              </w:rPr>
              <w:lastRenderedPageBreak/>
              <w:t xml:space="preserve">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proofErr w:type="spellStart"/>
            <w:r w:rsidRPr="00D1638D">
              <w:rPr>
                <w:szCs w:val="24"/>
              </w:rPr>
              <w:t>Сформированность</w:t>
            </w:r>
            <w:proofErr w:type="spellEnd"/>
            <w:r w:rsidRPr="00D1638D">
              <w:rPr>
                <w:szCs w:val="24"/>
              </w:rPr>
              <w:t xml:space="preserve">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 xml:space="preserve">конференции </w:t>
            </w:r>
            <w:r w:rsidRPr="00D1638D">
              <w:lastRenderedPageBreak/>
              <w:t>по теме исследования</w:t>
            </w:r>
          </w:p>
        </w:tc>
        <w:tc>
          <w:tcPr>
            <w:tcW w:w="850" w:type="pct"/>
          </w:tcPr>
          <w:p w:rsidR="009133D9" w:rsidRPr="00D1638D" w:rsidRDefault="009133D9" w:rsidP="009F0D79">
            <w:pPr>
              <w:rPr>
                <w:szCs w:val="24"/>
              </w:rPr>
            </w:pPr>
            <w:r w:rsidRPr="00D1638D">
              <w:rPr>
                <w:szCs w:val="24"/>
              </w:rPr>
              <w:lastRenderedPageBreak/>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 xml:space="preserve">Подготовка статьи для рецензируемого научного журнала из списка журналов, </w:t>
            </w:r>
            <w:r w:rsidRPr="00D1638D">
              <w:rPr>
                <w:lang w:eastAsia="en-US"/>
              </w:rPr>
              <w:lastRenderedPageBreak/>
              <w:t>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lastRenderedPageBreak/>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 xml:space="preserve">соответствует теме </w:t>
            </w:r>
            <w:r w:rsidRPr="00D1638D">
              <w:rPr>
                <w:szCs w:val="24"/>
              </w:rPr>
              <w:lastRenderedPageBreak/>
              <w:t>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lastRenderedPageBreak/>
              <w:t xml:space="preserve">В целом, содержание статьи соответствует теме исследования, но имеются </w:t>
            </w:r>
            <w:r w:rsidRPr="00D1638D">
              <w:rPr>
                <w:szCs w:val="24"/>
              </w:rPr>
              <w:lastRenderedPageBreak/>
              <w:t xml:space="preserve">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lastRenderedPageBreak/>
              <w:t>содержание статьи соответствует теме выпускной научно-квалификацио</w:t>
            </w:r>
            <w:r w:rsidRPr="00D1638D">
              <w:rPr>
                <w:szCs w:val="24"/>
              </w:rPr>
              <w:lastRenderedPageBreak/>
              <w:t>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56"/>
        <w:gridCol w:w="1858"/>
        <w:gridCol w:w="1858"/>
        <w:gridCol w:w="1783"/>
        <w:gridCol w:w="1858"/>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lastRenderedPageBreak/>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w:t>
            </w:r>
            <w:r w:rsidRPr="00D1638D">
              <w:rPr>
                <w:szCs w:val="24"/>
              </w:rPr>
              <w:lastRenderedPageBreak/>
              <w:t>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частично освоенное умение следовать основным нормам, </w:t>
            </w:r>
            <w:r w:rsidRPr="00D1638D">
              <w:rPr>
                <w:szCs w:val="24"/>
              </w:rPr>
              <w:lastRenderedPageBreak/>
              <w:t>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в целом успешное, но содержащее отдельные пробелы умение </w:t>
            </w:r>
            <w:r w:rsidRPr="00D1638D">
              <w:rPr>
                <w:szCs w:val="24"/>
              </w:rPr>
              <w:lastRenderedPageBreak/>
              <w:t>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успешное умение следовать основным нормам, принятым в </w:t>
            </w:r>
            <w:r w:rsidRPr="00D1638D">
              <w:rPr>
                <w:szCs w:val="24"/>
              </w:rPr>
              <w:lastRenderedPageBreak/>
              <w:t>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proofErr w:type="gramStart"/>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roofErr w:type="gramEnd"/>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w:t>
            </w:r>
            <w:r w:rsidRPr="00D1638D">
              <w:rPr>
                <w:szCs w:val="24"/>
              </w:rPr>
              <w:lastRenderedPageBreak/>
              <w:t xml:space="preserve">автореферата </w:t>
            </w:r>
          </w:p>
        </w:tc>
        <w:tc>
          <w:tcPr>
            <w:tcW w:w="932" w:type="pct"/>
          </w:tcPr>
          <w:p w:rsidR="009133D9" w:rsidRPr="00D1638D" w:rsidRDefault="009133D9" w:rsidP="00E92C30">
            <w:pPr>
              <w:tabs>
                <w:tab w:val="left" w:pos="180"/>
              </w:tabs>
              <w:rPr>
                <w:szCs w:val="24"/>
              </w:rPr>
            </w:pPr>
            <w:r w:rsidRPr="00D1638D">
              <w:rPr>
                <w:szCs w:val="24"/>
              </w:rPr>
              <w:lastRenderedPageBreak/>
              <w:t xml:space="preserve">В целом, автореферат  оформлен правильно, но имеются отдельные недочеты при оформлении и </w:t>
            </w:r>
            <w:r w:rsidRPr="00D1638D">
              <w:rPr>
                <w:szCs w:val="24"/>
              </w:rPr>
              <w:lastRenderedPageBreak/>
              <w:t>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lastRenderedPageBreak/>
              <w:t xml:space="preserve">автореферат  оформлен  в полном соответствии с требованиями к структуре и правилам оформления </w:t>
            </w:r>
            <w:r w:rsidRPr="00D1638D">
              <w:rPr>
                <w:szCs w:val="24"/>
              </w:rPr>
              <w:lastRenderedPageBreak/>
              <w:t>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CD47AF" w:rsidRPr="00301543" w:rsidRDefault="00CD47AF" w:rsidP="00CD47AF">
      <w:pPr>
        <w:spacing w:before="40"/>
        <w:ind w:firstLine="709"/>
        <w:jc w:val="both"/>
        <w:rPr>
          <w:rFonts w:eastAsia="Times New Roman"/>
          <w:kern w:val="12"/>
          <w:szCs w:val="24"/>
          <w:lang w:eastAsia="ru-RU"/>
        </w:rPr>
      </w:pPr>
      <w:r w:rsidRPr="00301543">
        <w:rPr>
          <w:rFonts w:eastAsia="Times New Roman"/>
          <w:bCs/>
          <w:szCs w:val="24"/>
          <w:lang w:eastAsia="ru-RU"/>
        </w:rPr>
        <w:t xml:space="preserve">Оценка результатов производится на основе </w:t>
      </w:r>
      <w:proofErr w:type="spellStart"/>
      <w:r w:rsidRPr="00301543">
        <w:rPr>
          <w:rFonts w:eastAsia="Times New Roman"/>
          <w:bCs/>
          <w:szCs w:val="24"/>
          <w:lang w:eastAsia="ru-RU"/>
        </w:rPr>
        <w:t>балльно</w:t>
      </w:r>
      <w:proofErr w:type="spellEnd"/>
      <w:r w:rsidRPr="00301543">
        <w:rPr>
          <w:rFonts w:eastAsia="Times New Roman"/>
          <w:bCs/>
          <w:szCs w:val="24"/>
          <w:lang w:eastAsia="ru-RU"/>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301543">
          <w:rPr>
            <w:rFonts w:eastAsia="Times New Roman"/>
            <w:bCs/>
            <w:szCs w:val="24"/>
            <w:lang w:eastAsia="ru-RU"/>
          </w:rPr>
          <w:t>2014 г</w:t>
        </w:r>
      </w:smartTag>
      <w:r w:rsidRPr="00301543">
        <w:rPr>
          <w:rFonts w:eastAsia="Times New Roman"/>
          <w:bCs/>
          <w:szCs w:val="24"/>
          <w:lang w:eastAsia="ru-RU"/>
        </w:rPr>
        <w:t xml:space="preserve">. №168 «О применении </w:t>
      </w:r>
      <w:proofErr w:type="spellStart"/>
      <w:r w:rsidRPr="00301543">
        <w:rPr>
          <w:rFonts w:eastAsia="Times New Roman"/>
          <w:bCs/>
          <w:szCs w:val="24"/>
          <w:lang w:eastAsia="ru-RU"/>
        </w:rPr>
        <w:t>балльно</w:t>
      </w:r>
      <w:proofErr w:type="spellEnd"/>
      <w:r w:rsidRPr="00301543">
        <w:rPr>
          <w:rFonts w:eastAsia="Times New Roman"/>
          <w:bCs/>
          <w:szCs w:val="24"/>
          <w:lang w:eastAsia="ru-RU"/>
        </w:rPr>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w:t>
      </w:r>
      <w:r w:rsidRPr="00301543">
        <w:rPr>
          <w:rFonts w:eastAsia="Times New Roman"/>
          <w:szCs w:val="24"/>
          <w:lang w:eastAsia="ru-RU"/>
        </w:rPr>
        <w:t>руководителем научно-образовательного направления</w:t>
      </w:r>
      <w:r w:rsidRPr="00301543">
        <w:rPr>
          <w:rFonts w:eastAsia="Times New Roman"/>
          <w:bCs/>
          <w:szCs w:val="24"/>
          <w:lang w:eastAsia="ru-RU"/>
        </w:rPr>
        <w:t xml:space="preserve">,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01543">
        <w:rPr>
          <w:rFonts w:eastAsia="Times New Roman"/>
          <w:szCs w:val="24"/>
          <w:lang w:eastAsia="ru-RU"/>
        </w:rPr>
        <w:t xml:space="preserve">Положении о </w:t>
      </w:r>
      <w:proofErr w:type="spellStart"/>
      <w:r w:rsidRPr="00301543">
        <w:rPr>
          <w:rFonts w:eastAsia="Times New Roman"/>
          <w:szCs w:val="24"/>
          <w:lang w:eastAsia="ru-RU"/>
        </w:rPr>
        <w:t>балльно</w:t>
      </w:r>
      <w:proofErr w:type="spellEnd"/>
      <w:r w:rsidRPr="00301543">
        <w:rPr>
          <w:rFonts w:eastAsia="Times New Roman"/>
          <w:szCs w:val="24"/>
          <w:lang w:eastAsia="ru-RU"/>
        </w:rPr>
        <w:t>-рейтинговой системе оценки знаний обучающихся в РАНХиГС.</w:t>
      </w:r>
    </w:p>
    <w:p w:rsidR="00CD47AF" w:rsidRPr="00301543" w:rsidRDefault="00CD47AF" w:rsidP="00CD47AF">
      <w:pPr>
        <w:spacing w:before="40"/>
        <w:ind w:firstLine="720"/>
        <w:jc w:val="both"/>
        <w:rPr>
          <w:rFonts w:eastAsia="Times New Roman"/>
          <w:szCs w:val="24"/>
          <w:lang w:eastAsia="ru-RU"/>
        </w:rPr>
      </w:pPr>
      <w:r w:rsidRPr="00301543">
        <w:rPr>
          <w:rFonts w:eastAsia="Times New Roman"/>
          <w:szCs w:val="24"/>
          <w:lang w:eastAsia="ru-RU"/>
        </w:rPr>
        <w:t xml:space="preserve">На основании п. 14 Положения о </w:t>
      </w:r>
      <w:proofErr w:type="spellStart"/>
      <w:r w:rsidRPr="00301543">
        <w:rPr>
          <w:rFonts w:eastAsia="Times New Roman"/>
          <w:szCs w:val="24"/>
          <w:lang w:eastAsia="ru-RU"/>
        </w:rPr>
        <w:t>балльно</w:t>
      </w:r>
      <w:proofErr w:type="spellEnd"/>
      <w:r w:rsidRPr="00301543">
        <w:rPr>
          <w:rFonts w:eastAsia="Times New Roman"/>
          <w:szCs w:val="24"/>
          <w:lang w:eastAsia="ru-RU"/>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CD47AF" w:rsidRPr="00301543" w:rsidRDefault="00CD47AF" w:rsidP="00CD47AF">
      <w:pPr>
        <w:spacing w:before="40" w:line="360" w:lineRule="auto"/>
        <w:ind w:firstLine="397"/>
        <w:rPr>
          <w:szCs w:val="24"/>
        </w:rPr>
      </w:pPr>
      <w:r w:rsidRPr="00301543">
        <w:rPr>
          <w:szCs w:val="24"/>
        </w:rPr>
        <w:t>Шкала перевода оценки из многобалльной в систему «зачтено»/ «не зачтено»:</w:t>
      </w:r>
    </w:p>
    <w:p w:rsidR="00CD47AF" w:rsidRPr="00301543" w:rsidRDefault="00CD47AF" w:rsidP="00CD47AF">
      <w:pPr>
        <w:pStyle w:val="af6"/>
        <w:rPr>
          <w:b/>
          <w:i/>
          <w:snapToGrid w:val="0"/>
          <w:szCs w:val="24"/>
        </w:rPr>
      </w:pPr>
      <w:r w:rsidRPr="00301543">
        <w:rPr>
          <w:szCs w:val="24"/>
        </w:rPr>
        <w:t xml:space="preserve">Таблица </w:t>
      </w:r>
      <w:r w:rsidRPr="00301543">
        <w:rPr>
          <w:szCs w:val="24"/>
        </w:rPr>
        <w:fldChar w:fldCharType="begin"/>
      </w:r>
      <w:r w:rsidRPr="00301543">
        <w:rPr>
          <w:szCs w:val="24"/>
        </w:rPr>
        <w:instrText xml:space="preserve"> SEQ Таблица \* ARABIC </w:instrText>
      </w:r>
      <w:r w:rsidRPr="00301543">
        <w:rPr>
          <w:szCs w:val="24"/>
        </w:rPr>
        <w:fldChar w:fldCharType="separate"/>
      </w:r>
      <w:r w:rsidRPr="00301543">
        <w:rPr>
          <w:noProof/>
          <w:szCs w:val="24"/>
        </w:rPr>
        <w:t>8</w:t>
      </w:r>
      <w:r w:rsidRPr="00301543">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0 до 50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«не зачтено»</w:t>
            </w:r>
          </w:p>
        </w:tc>
      </w:tr>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51 до 100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«зачтено»</w:t>
            </w:r>
          </w:p>
        </w:tc>
      </w:tr>
    </w:tbl>
    <w:p w:rsidR="00CD47AF" w:rsidRPr="00301543" w:rsidRDefault="00CD47AF" w:rsidP="00CD47AF">
      <w:pPr>
        <w:spacing w:before="40"/>
        <w:ind w:firstLine="397"/>
        <w:rPr>
          <w:szCs w:val="24"/>
        </w:rPr>
      </w:pPr>
      <w:r w:rsidRPr="00301543">
        <w:rPr>
          <w:szCs w:val="24"/>
        </w:rPr>
        <w:t>Примечание: если дисциплина изучается в течение нескольких семестров, схема расчета приводится для каждого из них.</w:t>
      </w:r>
    </w:p>
    <w:p w:rsidR="00CD47AF" w:rsidRDefault="00CD47AF" w:rsidP="002C38C5">
      <w:pPr>
        <w:ind w:firstLine="567"/>
        <w:jc w:val="both"/>
        <w:rPr>
          <w:b/>
          <w:szCs w:val="24"/>
        </w:rPr>
      </w:pPr>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 xml:space="preserve">Кузин, Ф. А. Диссертация: методика написания, правила оформления, порядок защиты : </w:t>
      </w:r>
      <w:proofErr w:type="spellStart"/>
      <w:r w:rsidRPr="00D1638D">
        <w:rPr>
          <w:szCs w:val="24"/>
        </w:rPr>
        <w:t>практ</w:t>
      </w:r>
      <w:proofErr w:type="spellEnd"/>
      <w:r w:rsidRPr="00D1638D">
        <w:rPr>
          <w:szCs w:val="24"/>
        </w:rPr>
        <w:t>.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proofErr w:type="spellStart"/>
      <w:r w:rsidRPr="00D1638D">
        <w:rPr>
          <w:szCs w:val="24"/>
        </w:rPr>
        <w:lastRenderedPageBreak/>
        <w:t>Райсберг</w:t>
      </w:r>
      <w:proofErr w:type="spellEnd"/>
      <w:r w:rsidRPr="00D1638D">
        <w:rPr>
          <w:szCs w:val="24"/>
        </w:rPr>
        <w:t xml:space="preserve">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 xml:space="preserve">Кузнецов, И. Н. Научное исследование : методика проведения и оформление / И.Н. Кузнецов. - Изд. 3-е, </w:t>
      </w:r>
      <w:proofErr w:type="spellStart"/>
      <w:r w:rsidRPr="00D1638D">
        <w:rPr>
          <w:szCs w:val="24"/>
        </w:rPr>
        <w:t>перераб</w:t>
      </w:r>
      <w:proofErr w:type="spellEnd"/>
      <w:r w:rsidRPr="00D1638D">
        <w:rPr>
          <w:szCs w:val="24"/>
        </w:rPr>
        <w:t>.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proofErr w:type="spellStart"/>
      <w:r w:rsidRPr="00D1638D">
        <w:rPr>
          <w:szCs w:val="24"/>
        </w:rPr>
        <w:t>Стёпин</w:t>
      </w:r>
      <w:proofErr w:type="spellEnd"/>
      <w:r w:rsidRPr="00D1638D">
        <w:rPr>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D1638D">
        <w:rPr>
          <w:szCs w:val="24"/>
        </w:rPr>
        <w:t>Трикста</w:t>
      </w:r>
      <w:proofErr w:type="spellEnd"/>
      <w:r w:rsidRPr="00D1638D">
        <w:rPr>
          <w:szCs w:val="24"/>
        </w:rPr>
        <w:t>,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w:t>
      </w:r>
      <w:proofErr w:type="spellStart"/>
      <w:r w:rsidRPr="00D1638D">
        <w:rPr>
          <w:rFonts w:ascii="Times New Roman" w:hAnsi="Times New Roman" w:cs="Times New Roman"/>
        </w:rPr>
        <w:t>А.П.Болдин</w:t>
      </w:r>
      <w:proofErr w:type="spellEnd"/>
      <w:r w:rsidRPr="00D1638D">
        <w:rPr>
          <w:rFonts w:ascii="Times New Roman" w:hAnsi="Times New Roman" w:cs="Times New Roman"/>
        </w:rPr>
        <w:t xml:space="preserve">, </w:t>
      </w:r>
      <w:proofErr w:type="spellStart"/>
      <w:r w:rsidRPr="00D1638D">
        <w:rPr>
          <w:rFonts w:ascii="Times New Roman" w:hAnsi="Times New Roman" w:cs="Times New Roman"/>
        </w:rPr>
        <w:t>В.А.Максимов</w:t>
      </w:r>
      <w:proofErr w:type="spellEnd"/>
      <w:r w:rsidRPr="00D1638D">
        <w:rPr>
          <w:rFonts w:ascii="Times New Roman" w:hAnsi="Times New Roman" w:cs="Times New Roman"/>
        </w:rPr>
        <w:t xml:space="preserve">.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w:t>
      </w:r>
      <w:proofErr w:type="spellStart"/>
      <w:r w:rsidRPr="00D1638D">
        <w:rPr>
          <w:rFonts w:ascii="Times New Roman" w:hAnsi="Times New Roman" w:cs="Times New Roman"/>
          <w:color w:val="000000"/>
        </w:rPr>
        <w:t>Зборовского</w:t>
      </w:r>
      <w:proofErr w:type="spellEnd"/>
      <w:r w:rsidRPr="00D1638D">
        <w:rPr>
          <w:rFonts w:ascii="Times New Roman" w:hAnsi="Times New Roman" w:cs="Times New Roman"/>
          <w:color w:val="000000"/>
        </w:rPr>
        <w:t xml:space="preserve">. – Екатеринбург: </w:t>
      </w:r>
      <w:proofErr w:type="spellStart"/>
      <w:r w:rsidRPr="00D1638D">
        <w:rPr>
          <w:rFonts w:ascii="Times New Roman" w:hAnsi="Times New Roman" w:cs="Times New Roman"/>
          <w:color w:val="000000"/>
        </w:rPr>
        <w:t>УрФУ</w:t>
      </w:r>
      <w:proofErr w:type="spellEnd"/>
      <w:r w:rsidRPr="00D1638D">
        <w:rPr>
          <w:rFonts w:ascii="Times New Roman" w:hAnsi="Times New Roman" w:cs="Times New Roman"/>
          <w:color w:val="000000"/>
        </w:rPr>
        <w:t xml:space="preserve">,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w:t>
      </w:r>
      <w:proofErr w:type="spellStart"/>
      <w:r w:rsidRPr="00D1638D">
        <w:rPr>
          <w:rFonts w:ascii="Times New Roman" w:hAnsi="Times New Roman" w:cs="Times New Roman"/>
          <w:color w:val="000000"/>
        </w:rPr>
        <w:t>постгэллаповским</w:t>
      </w:r>
      <w:proofErr w:type="spellEnd"/>
      <w:r w:rsidRPr="00D1638D">
        <w:rPr>
          <w:rFonts w:ascii="Times New Roman" w:hAnsi="Times New Roman" w:cs="Times New Roman"/>
          <w:color w:val="000000"/>
        </w:rPr>
        <w:t xml:space="preserve">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lastRenderedPageBreak/>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w:t>
      </w:r>
      <w:proofErr w:type="spellStart"/>
      <w:r w:rsidRPr="00D1638D">
        <w:rPr>
          <w:szCs w:val="24"/>
        </w:rPr>
        <w:t>Айбукс</w:t>
      </w:r>
      <w:proofErr w:type="spellEnd"/>
      <w:r w:rsidRPr="00D1638D">
        <w:rPr>
          <w:szCs w:val="24"/>
        </w:rPr>
        <w:t xml:space="preserve">»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Статьи из периодических изданий по  общественным  и гуманитарным наукам «</w:t>
      </w:r>
      <w:proofErr w:type="spellStart"/>
      <w:r w:rsidRPr="00D1638D">
        <w:rPr>
          <w:szCs w:val="24"/>
        </w:rPr>
        <w:t>Ист</w:t>
      </w:r>
      <w:proofErr w:type="spellEnd"/>
      <w:r w:rsidRPr="00D1638D">
        <w:rPr>
          <w:szCs w:val="24"/>
        </w:rPr>
        <w:t xml:space="preserve">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 xml:space="preserve">EBSCO </w:t>
      </w:r>
      <w:proofErr w:type="spellStart"/>
      <w:r w:rsidRPr="00D1638D">
        <w:rPr>
          <w:szCs w:val="24"/>
        </w:rPr>
        <w:t>Publishing</w:t>
      </w:r>
      <w:proofErr w:type="spellEnd"/>
      <w:r w:rsidRPr="00D1638D">
        <w:rPr>
          <w:szCs w:val="24"/>
        </w:rPr>
        <w:t xml:space="preserve"> - доступ к </w:t>
      </w:r>
      <w:proofErr w:type="spellStart"/>
      <w:r w:rsidRPr="00D1638D">
        <w:rPr>
          <w:szCs w:val="24"/>
        </w:rPr>
        <w:t>мультидисциплинарным</w:t>
      </w:r>
      <w:proofErr w:type="spellEnd"/>
      <w:r w:rsidRPr="00D1638D">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proofErr w:type="spellStart"/>
      <w:r w:rsidRPr="00D1638D">
        <w:rPr>
          <w:szCs w:val="24"/>
        </w:rPr>
        <w:t>Emerald</w:t>
      </w:r>
      <w:proofErr w:type="spellEnd"/>
      <w:r w:rsidRPr="00D1638D">
        <w:rPr>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 xml:space="preserve">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w:t>
      </w:r>
      <w:proofErr w:type="spellStart"/>
      <w:r w:rsidRPr="00301543">
        <w:rPr>
          <w:rFonts w:eastAsia="Times New Roman"/>
          <w:szCs w:val="24"/>
          <w:lang w:eastAsia="ru-RU"/>
        </w:rPr>
        <w:t>антиплагиат</w:t>
      </w:r>
      <w:proofErr w:type="spellEnd"/>
      <w:r w:rsidRPr="00301543">
        <w:rPr>
          <w:rFonts w:eastAsia="Times New Roman"/>
          <w:szCs w:val="24"/>
          <w:lang w:eastAsia="ru-RU"/>
        </w:rPr>
        <w:t>.</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CD" w:rsidRDefault="00EE39CD" w:rsidP="00371545">
      <w:r>
        <w:separator/>
      </w:r>
    </w:p>
  </w:endnote>
  <w:endnote w:type="continuationSeparator" w:id="0">
    <w:p w:rsidR="00EE39CD" w:rsidRDefault="00EE39CD"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0645A3">
          <w:rPr>
            <w:noProof/>
          </w:rPr>
          <w:t>40</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CD" w:rsidRDefault="00EE39CD" w:rsidP="00371545">
      <w:r>
        <w:separator/>
      </w:r>
    </w:p>
  </w:footnote>
  <w:footnote w:type="continuationSeparator" w:id="0">
    <w:p w:rsidR="00EE39CD" w:rsidRDefault="00EE39CD" w:rsidP="0037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0645A3"/>
    <w:rsid w:val="00103B2E"/>
    <w:rsid w:val="001157AF"/>
    <w:rsid w:val="0015588A"/>
    <w:rsid w:val="00192035"/>
    <w:rsid w:val="001A034E"/>
    <w:rsid w:val="00224AE2"/>
    <w:rsid w:val="00244C81"/>
    <w:rsid w:val="00264642"/>
    <w:rsid w:val="00285D67"/>
    <w:rsid w:val="002952A4"/>
    <w:rsid w:val="002C38C5"/>
    <w:rsid w:val="002C5265"/>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46161"/>
    <w:rsid w:val="00A9060D"/>
    <w:rsid w:val="00AF73E9"/>
    <w:rsid w:val="00B21E6A"/>
    <w:rsid w:val="00B50D86"/>
    <w:rsid w:val="00B70CE8"/>
    <w:rsid w:val="00B91CB9"/>
    <w:rsid w:val="00C2346C"/>
    <w:rsid w:val="00C63886"/>
    <w:rsid w:val="00C7184D"/>
    <w:rsid w:val="00C90913"/>
    <w:rsid w:val="00CC30EA"/>
    <w:rsid w:val="00CD149D"/>
    <w:rsid w:val="00CD47AF"/>
    <w:rsid w:val="00D1638D"/>
    <w:rsid w:val="00DA2CF3"/>
    <w:rsid w:val="00E341B2"/>
    <w:rsid w:val="00E45059"/>
    <w:rsid w:val="00E47CC1"/>
    <w:rsid w:val="00E92C30"/>
    <w:rsid w:val="00EB1C09"/>
    <w:rsid w:val="00ED47FA"/>
    <w:rsid w:val="00EE39CD"/>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40</Pages>
  <Words>10096</Words>
  <Characters>57549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Наумов Владимир Николаевич</cp:lastModifiedBy>
  <cp:revision>6</cp:revision>
  <cp:lastPrinted>2018-02-01T10:45:00Z</cp:lastPrinted>
  <dcterms:created xsi:type="dcterms:W3CDTF">2018-09-08T19:25:00Z</dcterms:created>
  <dcterms:modified xsi:type="dcterms:W3CDTF">2018-09-12T06:19:00Z</dcterms:modified>
</cp:coreProperties>
</file>