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1B3F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1B3F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1B3F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1B3F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1B3FEC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1B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044EF65E" w:rsidR="004F41AE" w:rsidRPr="004B5BE5" w:rsidRDefault="006478F6" w:rsidP="001B3FE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241DA0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1B3FE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1B3FEC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1B3FEC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040182BA" w:rsidR="004F41AE" w:rsidRPr="003539B5" w:rsidRDefault="00910D58" w:rsidP="001B3FEC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14:paraId="42D5770D" w14:textId="77777777" w:rsidR="003539B5" w:rsidRPr="00C4085D" w:rsidRDefault="003539B5" w:rsidP="001B3F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1B3FEC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1B3FE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1B3F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1B3F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1B3F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1B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5556A894" w:rsidR="004F41AE" w:rsidRPr="006478F6" w:rsidRDefault="00241DA0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1D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Административное право, административный процесс</w:t>
      </w:r>
    </w:p>
    <w:p w14:paraId="6DD7E191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1B3FE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1B3F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1B3FE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1B3FE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1B3F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1B3F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1B3FE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1B3FE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1B3FE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1B3FE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1B3FEC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1B3F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1B3FEC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269A210E" w14:textId="77777777" w:rsidR="001B3FEC" w:rsidRDefault="00910D58" w:rsidP="001B3FEC">
      <w:pPr>
        <w:widowControl w:val="0"/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hAnsi="Times New Roman"/>
        </w:rPr>
      </w:pPr>
      <w:r w:rsidRPr="00910D58">
        <w:rPr>
          <w:rFonts w:ascii="Times New Roman" w:hAnsi="Times New Roman"/>
          <w:sz w:val="24"/>
        </w:rPr>
        <w:t xml:space="preserve">правоведения </w:t>
      </w:r>
      <w:proofErr w:type="spellStart"/>
      <w:r w:rsidR="001B3FEC">
        <w:rPr>
          <w:rFonts w:ascii="Times New Roman" w:hAnsi="Times New Roman"/>
        </w:rPr>
        <w:t>к.ю.н</w:t>
      </w:r>
      <w:proofErr w:type="spellEnd"/>
      <w:r w:rsidR="001B3FEC">
        <w:rPr>
          <w:rFonts w:ascii="Times New Roman" w:hAnsi="Times New Roman"/>
        </w:rPr>
        <w:t>., доцент Трегубов М.В.</w:t>
      </w:r>
    </w:p>
    <w:p w14:paraId="5125EA7C" w14:textId="7DF47785" w:rsidR="004F41AE" w:rsidRPr="004B3C42" w:rsidRDefault="00910D58" w:rsidP="001B3FEC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>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1B3FEC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1B3FE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1B3FE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1B3FE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1B3FE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1B3FE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1B3F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1B3F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1B3FEC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1B3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1B3FE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1B3FE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AD85938" w:rsidR="00843D4F" w:rsidRPr="00E77277" w:rsidRDefault="00626A52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Default="00F15F6D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C8877A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025998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33E2DF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93903B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Default="00910D58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0EDCA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41A2" w14:textId="6DF577E0" w:rsidR="00241DA0" w:rsidRDefault="00241DA0" w:rsidP="001B3FE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ьства и практики его применения</w:t>
            </w:r>
          </w:p>
          <w:p w14:paraId="1514DF77" w14:textId="10C89353" w:rsidR="00241DA0" w:rsidRDefault="00241DA0" w:rsidP="001B3FE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теоретические основы и основные методы разраб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отки нормативных правовых актов</w:t>
            </w:r>
          </w:p>
          <w:p w14:paraId="5BEB6C79" w14:textId="56D401E2" w:rsidR="00F15F6D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</w:t>
            </w: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</w:tbl>
    <w:p w14:paraId="1596E2C0" w14:textId="77777777" w:rsidR="00843D4F" w:rsidRPr="00C4085D" w:rsidRDefault="00843D4F" w:rsidP="001B3FEC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1B3FEC">
      <w:pPr>
        <w:numPr>
          <w:ilvl w:val="1"/>
          <w:numId w:val="10"/>
        </w:numPr>
        <w:shd w:val="clear" w:color="auto" w:fill="FFFFFF"/>
        <w:spacing w:after="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1B3FEC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1B3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1B3FEC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1B3F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1B3FEC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1B3FE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1B3FE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1B3FE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1B3F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1B3F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1B3FE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1B3F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1B3FEC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1B3F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1B3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1B3FEC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1B3FEC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1B3FE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6FA7FA90" w:rsidR="0083424A" w:rsidRPr="004F41AE" w:rsidRDefault="001B3FEC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26727A49" w14:textId="60E1FEAE" w:rsidR="0083424A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0CA1817" w14:textId="58F44D6C" w:rsidR="0083424A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доклад, круглый стол/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дискуссия, кейс, тестирование</w:t>
            </w:r>
          </w:p>
        </w:tc>
      </w:tr>
      <w:tr w:rsidR="004D527C" w:rsidRPr="004F41AE" w14:paraId="766CF5FE" w14:textId="7D447B86" w:rsidTr="00793D83">
        <w:trPr>
          <w:trHeight w:val="285"/>
        </w:trPr>
        <w:tc>
          <w:tcPr>
            <w:tcW w:w="4928" w:type="dxa"/>
          </w:tcPr>
          <w:p w14:paraId="1C188816" w14:textId="77777777" w:rsidR="004D527C" w:rsidRPr="004F41AE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4819" w:type="dxa"/>
            <w:gridSpan w:val="2"/>
          </w:tcPr>
          <w:p w14:paraId="4743C77A" w14:textId="195EC31C" w:rsidR="004D527C" w:rsidRPr="004F41AE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25FF31" w14:textId="77777777" w:rsidR="004B23A5" w:rsidRDefault="004B23A5" w:rsidP="001B3FEC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1B3FE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75744492" w:rsidR="00B16A07" w:rsidRPr="004F41AE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091D8941" w14:textId="087780CA" w:rsidR="00B16A07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04812E95" w14:textId="6B9480A6" w:rsidR="00B16A07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4D527C" w:rsidRPr="004F41AE" w14:paraId="32DC251E" w14:textId="283FE6BF" w:rsidTr="00D9688E">
        <w:trPr>
          <w:trHeight w:val="285"/>
        </w:trPr>
        <w:tc>
          <w:tcPr>
            <w:tcW w:w="4928" w:type="dxa"/>
          </w:tcPr>
          <w:p w14:paraId="5E74E701" w14:textId="77777777" w:rsidR="004D527C" w:rsidRPr="004F41AE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819" w:type="dxa"/>
            <w:gridSpan w:val="2"/>
          </w:tcPr>
          <w:p w14:paraId="3683F877" w14:textId="703D3759" w:rsidR="004D527C" w:rsidRPr="004F41AE" w:rsidRDefault="004D527C" w:rsidP="001B3FE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14:paraId="7387E9F6" w14:textId="77777777" w:rsidR="006716A6" w:rsidRDefault="006716A6" w:rsidP="001B3FE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1B3F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1B3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1B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1B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1B3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1B3FEC">
      <w:pPr>
        <w:tabs>
          <w:tab w:val="left" w:pos="161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1B3F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1B3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1B3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1B3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1B3FEC">
      <w:pPr>
        <w:spacing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1B3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Default="00DE221D" w:rsidP="001B3FEC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1D2986D5" w14:textId="77777777" w:rsidR="00241DA0" w:rsidRDefault="00241DA0" w:rsidP="001B3FEC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5D2669ED" w14:textId="77777777" w:rsidR="00241DA0" w:rsidRDefault="00241DA0" w:rsidP="001B3FEC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25BA8D0E" w14:textId="77777777" w:rsidR="00241DA0" w:rsidRDefault="00241DA0" w:rsidP="001B3FEC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00C21168" w14:textId="77777777" w:rsidR="00241DA0" w:rsidRDefault="00241DA0" w:rsidP="001B3FEC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022628D" w14:textId="77777777" w:rsidR="00241DA0" w:rsidRPr="00D3539D" w:rsidRDefault="00241DA0" w:rsidP="001B3FEC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1B3F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1B3F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1B3FEC">
      <w:pPr>
        <w:widowControl w:val="0"/>
        <w:snapToGri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1B3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1B3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1B3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1B3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1B3FE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коммуникации. Современные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1B3FEC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B3FEC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B3FEC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1B3FEC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1B3FEC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1B3F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1B3FE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1B3F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1B3F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1B3F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1B3F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1B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1B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1B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1B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1B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1B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1B3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1B3F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1B3F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1B3F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1B3F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1B3FEC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1B3FEC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1B3FEC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1B3FEC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1B3FEC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1B3FEC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1B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1B3FEC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1B3FE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1B3F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1B3F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1B3FE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1B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1B3F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 w:rsidP="001B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 w:rsidP="001B3FEC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 w:rsidP="001B3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 w:rsidP="001B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 w:rsidP="001B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 w:rsidP="001B3FEC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1B3FEC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1B3FEC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1B3FEC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1B3FE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1B3FE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1B3F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1B3FE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1B3FE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1B3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1B3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1B3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известные мировые базы данных диссертаций.</w:t>
      </w:r>
    </w:p>
    <w:p w14:paraId="1BAE82CA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1B3FEC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1B3FE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1B3FE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1B3FE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1B3FEC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1B3FE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1B3FEC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1B3FEC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1B3FEC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1B3FEC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1B3FEC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1B3FEC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1B3FEC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1B3FEC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1B3FEC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1B3FEC">
      <w:pPr>
        <w:spacing w:after="0" w:line="240" w:lineRule="auto"/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1B3FE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1B3FEC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1B3FEC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1B3FEC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1B3FE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1B3FE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1B3FEC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1B3FEC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1B3FEC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1B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1B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1B3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1B3FEC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1B3FEC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1B3FEC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1B3FE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1B3FEC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1B3FEC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1B3FEC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1B3FE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1B3FEC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1B3FEC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1B3FEC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1B3FE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1B3FEC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1B3FEC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1B3FEC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1B3FE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1B3FEC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1B3FEC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1B3FEC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1B3FEC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1B3FEC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1B3FEC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1B3FE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1B3FEC">
      <w:pPr>
        <w:tabs>
          <w:tab w:val="left" w:pos="720"/>
        </w:tabs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1B3FEC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1B3FEC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1B3FEC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1B3FE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1B3F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1B3FEC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1B3FEC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1B3FEC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1B3FE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1B3FEC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1B3FEC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1B3FEC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1B3FE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1B3FEC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1B3FEC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1B3FEC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1B3FE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1B3FEC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1B3FEC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1B3FEC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1B3FE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1B3FEC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1B3FEC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1B3FE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1B3FEC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1B3FEC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1B3FEC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1B3FEC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1B3FEC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1B3FEC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1B3FEC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1B3FE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1B3FEC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1B3FEC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1B3FEC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1B3FEC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1B3FE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9"/>
        <w:gridCol w:w="3969"/>
        <w:gridCol w:w="57"/>
        <w:gridCol w:w="2897"/>
      </w:tblGrid>
      <w:tr w:rsidR="004B23A5" w:rsidRPr="00844508" w14:paraId="5DBF5EED" w14:textId="77777777" w:rsidTr="00031254">
        <w:tc>
          <w:tcPr>
            <w:tcW w:w="1573" w:type="pct"/>
          </w:tcPr>
          <w:p w14:paraId="045B4D6C" w14:textId="77777777" w:rsidR="004B23A5" w:rsidRPr="00844508" w:rsidRDefault="004B23A5" w:rsidP="001B3F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lastRenderedPageBreak/>
              <w:t>Показатели</w:t>
            </w:r>
          </w:p>
          <w:p w14:paraId="5600385B" w14:textId="77777777" w:rsidR="004B23A5" w:rsidRPr="00844508" w:rsidRDefault="004B23A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lastRenderedPageBreak/>
              <w:t>оценки</w:t>
            </w:r>
          </w:p>
        </w:tc>
        <w:tc>
          <w:tcPr>
            <w:tcW w:w="1426" w:type="pct"/>
          </w:tcPr>
          <w:p w14:paraId="617EEFB8" w14:textId="77777777" w:rsidR="004B23A5" w:rsidRPr="00844508" w:rsidRDefault="004B23A5" w:rsidP="001B3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lastRenderedPageBreak/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</w:tcPr>
          <w:p w14:paraId="11A99852" w14:textId="77777777" w:rsidR="004B23A5" w:rsidRPr="00844508" w:rsidRDefault="004B23A5" w:rsidP="001B3F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1B3FE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</w:tcPr>
          <w:p w14:paraId="2535D693" w14:textId="77777777" w:rsidR="004B23A5" w:rsidRPr="00844508" w:rsidRDefault="004B23A5" w:rsidP="001B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1B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1B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</w:tcPr>
          <w:p w14:paraId="325014B2" w14:textId="77777777" w:rsidR="004B23A5" w:rsidRPr="00844508" w:rsidRDefault="004B23A5" w:rsidP="001B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1B3FEC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1B3FEC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1B3FEC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1B3FEC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</w:tcPr>
          <w:p w14:paraId="11D11B57" w14:textId="2246F9A4" w:rsidR="004B23A5" w:rsidRPr="00844508" w:rsidRDefault="004B23A5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1B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1B3FEC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1B3FEC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1B3FEC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1B3FEC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1B3FEC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1B3FEC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1B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1B3FEC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241DA0">
        <w:trPr>
          <w:trHeight w:val="1914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 w:rsidP="001B3F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 w:rsidP="001B3FEC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1B3F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1B3FEC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446FFBDA" w:rsidR="004B23A5" w:rsidRDefault="004B23A5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559"/>
        <w:gridCol w:w="4218"/>
      </w:tblGrid>
      <w:tr w:rsidR="00241DA0" w:rsidRPr="00E77277" w14:paraId="41090461" w14:textId="77777777" w:rsidTr="001B3F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2D94" w14:textId="77777777" w:rsidR="00241DA0" w:rsidRPr="00E77277" w:rsidRDefault="00241DA0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59DD" w14:textId="77777777" w:rsidR="00241DA0" w:rsidRPr="00E77277" w:rsidRDefault="00241DA0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379F" w14:textId="77777777" w:rsidR="00241DA0" w:rsidRPr="00E77277" w:rsidRDefault="00241DA0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B6A" w14:textId="77777777" w:rsidR="00241DA0" w:rsidRPr="00E77277" w:rsidRDefault="00241DA0" w:rsidP="001B3FEC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241DA0" w:rsidRPr="00E77277" w14:paraId="39688440" w14:textId="77777777" w:rsidTr="001B3F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D309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B2EC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 xml:space="preserve">Готовность использовать современные методы и технологии научной коммуникации на государственном и </w:t>
            </w:r>
            <w:r w:rsidRPr="00E77277">
              <w:rPr>
                <w:rFonts w:ascii="Times New Roman" w:eastAsia="Times New Roman" w:hAnsi="Times New Roman"/>
                <w:bCs/>
              </w:rPr>
              <w:lastRenderedPageBreak/>
              <w:t>иностранном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D97A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УК- 4.1.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240A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241DA0" w:rsidRPr="00E77277" w14:paraId="019AAC86" w14:textId="77777777" w:rsidTr="001B3F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6550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94A3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24AE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2543FD9B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64E758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0BF21D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53FF88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87EB257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8C7458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14:paraId="5A582B69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3403" w14:textId="77777777" w:rsidR="00241DA0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4E861AE6" w14:textId="77777777" w:rsidR="00241DA0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20511E4" w14:textId="77777777" w:rsidR="00241DA0" w:rsidRDefault="00241DA0" w:rsidP="001B3FE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678C04A2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241DA0" w:rsidRPr="00E77277" w14:paraId="1EB085FB" w14:textId="77777777" w:rsidTr="001B3FE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32D9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8215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6A52">
              <w:rPr>
                <w:rFonts w:ascii="Times New Roman" w:eastAsia="Times New Roman" w:hAnsi="Times New Roman"/>
                <w:kern w:val="3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170B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57FADB0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E373355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B925BC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E97FD5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D9BC62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1CE9AD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3D3EE2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53A21DF3" w14:textId="77777777" w:rsidR="00241DA0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63C671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C09911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0DF9" w14:textId="77777777" w:rsidR="00241DA0" w:rsidRDefault="00241DA0" w:rsidP="001B3FE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ьства и практики его применения</w:t>
            </w:r>
          </w:p>
          <w:p w14:paraId="69CDD967" w14:textId="77777777" w:rsidR="00241DA0" w:rsidRDefault="00241DA0" w:rsidP="001B3FE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241DA0">
              <w:rPr>
                <w:rFonts w:ascii="Times New Roman" w:eastAsia="Times New Roman" w:hAnsi="Times New Roman"/>
                <w:kern w:val="3"/>
                <w:lang w:eastAsia="ru-RU"/>
              </w:rPr>
              <w:t>Знать теоретические основы и основные методы разраб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отки нормативных правовых актов</w:t>
            </w:r>
          </w:p>
          <w:p w14:paraId="191A3D5B" w14:textId="77777777" w:rsidR="00241DA0" w:rsidRPr="00E77277" w:rsidRDefault="00241DA0" w:rsidP="001B3F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</w:tbl>
    <w:p w14:paraId="21406C5E" w14:textId="182D6BAF" w:rsidR="008F3F8D" w:rsidRDefault="001B3FEC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1B3FEC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6" w:right="726"/>
              <w:jc w:val="both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1B3FEC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both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1B3FEC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both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1B3FEC">
            <w:pPr>
              <w:spacing w:after="0" w:line="240" w:lineRule="auto"/>
              <w:ind w:left="136" w:right="726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2458F4D8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03B5B8A5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1B3FEC">
            <w:pPr>
              <w:spacing w:after="0" w:line="240" w:lineRule="auto"/>
              <w:ind w:left="138" w:right="7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1B3FEC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1B3FEC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1B3FEC">
            <w:pPr>
              <w:spacing w:after="0" w:line="240" w:lineRule="auto"/>
              <w:ind w:left="138" w:right="271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1B3FEC">
            <w:pPr>
              <w:spacing w:after="0" w:line="240" w:lineRule="auto"/>
              <w:ind w:left="136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6D7951ED" w:rsidR="007C2259" w:rsidRPr="007C2259" w:rsidRDefault="007C2259" w:rsidP="001B3FEC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1B3FEC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1B3FEC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1B3FEC">
            <w:pPr>
              <w:spacing w:after="0" w:line="240" w:lineRule="auto"/>
              <w:ind w:left="132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</w:t>
            </w:r>
          </w:p>
          <w:p w14:paraId="671F7A1D" w14:textId="108766E7" w:rsidR="007C2259" w:rsidRPr="007C2259" w:rsidRDefault="007C2259" w:rsidP="001B3FEC">
            <w:pPr>
              <w:spacing w:after="0" w:line="240" w:lineRule="auto"/>
              <w:ind w:left="136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6248F5F2" w:rsidR="007C2259" w:rsidRPr="007C2259" w:rsidRDefault="007C2259" w:rsidP="001B3FEC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241020B4" w:rsidR="007C2259" w:rsidRPr="007C2259" w:rsidRDefault="007C2259" w:rsidP="001B3FEC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1B3F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lastRenderedPageBreak/>
              <w:t>ОПК-1.3</w:t>
            </w:r>
          </w:p>
          <w:p w14:paraId="69E006BB" w14:textId="29258684" w:rsidR="007C2259" w:rsidRPr="007C2259" w:rsidRDefault="007C2259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1B3FEC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1B3FEC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241DA0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0A2A6" w14:textId="030F17B1" w:rsidR="00241DA0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ПК-1.1</w:t>
            </w:r>
          </w:p>
          <w:p w14:paraId="30A90B43" w14:textId="2FFC7486" w:rsidR="00241DA0" w:rsidRPr="00626A52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C01F4" w14:textId="78926C7D" w:rsidR="00241DA0" w:rsidRDefault="00241DA0" w:rsidP="001B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</w:t>
            </w:r>
          </w:p>
          <w:p w14:paraId="6021C727" w14:textId="6813BEC9" w:rsidR="00241DA0" w:rsidRPr="00626A52" w:rsidRDefault="00241DA0" w:rsidP="001B3FEC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0021" w14:textId="77777777" w:rsidR="00241DA0" w:rsidRDefault="00241DA0" w:rsidP="001B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14:paraId="0AE21DC1" w14:textId="0234E17C" w:rsidR="00241DA0" w:rsidRPr="00626A52" w:rsidRDefault="00241DA0" w:rsidP="001B3FEC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41DA0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CA110" w14:textId="77777777" w:rsidR="00241DA0" w:rsidRDefault="00241DA0" w:rsidP="001B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ПК-1.2.</w:t>
            </w:r>
          </w:p>
          <w:p w14:paraId="406DA4BB" w14:textId="008BD2C3" w:rsidR="00241DA0" w:rsidRDefault="00241DA0" w:rsidP="001B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 Знать теоретические основы и основные методы разработки нормативных правовых актов.</w:t>
            </w:r>
          </w:p>
          <w:p w14:paraId="0DCF48FC" w14:textId="41BB1050" w:rsidR="00241DA0" w:rsidRPr="00626A52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FB640" w14:textId="6EF69CB6" w:rsidR="00241DA0" w:rsidRPr="00626A52" w:rsidRDefault="00241DA0" w:rsidP="001B3FEC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04AC4AFD" w:rsidR="00241DA0" w:rsidRPr="00626A52" w:rsidRDefault="00241DA0" w:rsidP="001B3FEC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241DA0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3545" w14:textId="4F974081" w:rsidR="00241DA0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ПК-1.3.</w:t>
            </w:r>
          </w:p>
          <w:p w14:paraId="1E105036" w14:textId="080554EA" w:rsidR="00241DA0" w:rsidRPr="00626A52" w:rsidRDefault="00241DA0" w:rsidP="001B3FE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AA9B2" w14:textId="77777777" w:rsidR="00241DA0" w:rsidRDefault="00241DA0" w:rsidP="001B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14:paraId="72E1D8FF" w14:textId="3F3CEB6E" w:rsidR="00241DA0" w:rsidRPr="00626A52" w:rsidRDefault="00241DA0" w:rsidP="001B3FEC">
            <w:pPr>
              <w:spacing w:after="0" w:line="240" w:lineRule="auto"/>
              <w:ind w:left="131" w:right="726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04845" w14:textId="77777777" w:rsidR="00241DA0" w:rsidRDefault="00241DA0" w:rsidP="001B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14:paraId="5D4E9403" w14:textId="4E614CEB" w:rsidR="00241DA0" w:rsidRPr="00626A52" w:rsidRDefault="00241DA0" w:rsidP="001B3FEC">
            <w:pPr>
              <w:spacing w:after="0" w:line="240" w:lineRule="auto"/>
              <w:ind w:left="138" w:right="271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</w:tr>
    </w:tbl>
    <w:p w14:paraId="36925A03" w14:textId="77777777" w:rsidR="007C2259" w:rsidRPr="00626A52" w:rsidRDefault="007C2259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0E2D70D9" w14:textId="77777777" w:rsidR="008A1B9F" w:rsidRDefault="008A1B9F" w:rsidP="001B3FEC">
      <w:pPr>
        <w:widowControl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714C4CAD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Основные и дополнительные показатели результативности автора.</w:t>
      </w:r>
    </w:p>
    <w:p w14:paraId="6164B740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1B3FEC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1B3FEC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1B3FEC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1B3FEC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1B3FEC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30E614DE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1B3FEC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1B3FE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8D7E00B" w14:textId="77777777" w:rsidR="001B3FEC" w:rsidRPr="001B3FEC" w:rsidRDefault="001B3FEC" w:rsidP="001B3FE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FEC"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</w:t>
      </w:r>
    </w:p>
    <w:p w14:paraId="0CBB096C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</w:t>
      </w:r>
      <w:proofErr w:type="spellStart"/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Президенте РФ от 19.06.2018, протокол № 11.</w:t>
      </w:r>
    </w:p>
    <w:p w14:paraId="7E653EC9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14:paraId="0D269AF6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</w:t>
      </w: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1D137F40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14:paraId="1005705A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ХОРОШО (4 балла)</w:t>
      </w:r>
    </w:p>
    <w:p w14:paraId="3BB3E5B7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7F808015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14:paraId="7FBEA754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14:paraId="50262B8A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636127DE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14:paraId="21436E94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14:paraId="32F5F211" w14:textId="77777777" w:rsidR="001B3FEC" w:rsidRPr="001B3FEC" w:rsidRDefault="001B3FEC" w:rsidP="001B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205448E6" w14:textId="77777777" w:rsidR="001B3FEC" w:rsidRPr="001B3FEC" w:rsidRDefault="001B3FEC" w:rsidP="001B3FEC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14:paraId="5C7D6769" w14:textId="77777777" w:rsidR="001B3FEC" w:rsidRPr="001B3FEC" w:rsidRDefault="001B3FEC" w:rsidP="001B3FEC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</w:t>
      </w:r>
      <w:proofErr w:type="gramStart"/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</w:t>
      </w:r>
      <w:proofErr w:type="gramEnd"/>
      <w:r w:rsidRPr="001B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зачтено»: </w:t>
      </w:r>
      <w:r w:rsidRPr="001B3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1B3FEC" w:rsidRPr="001B3FEC" w14:paraId="5E2B51E8" w14:textId="77777777" w:rsidTr="001B3FEC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F50867" w14:textId="77777777" w:rsidR="001B3FEC" w:rsidRPr="001B3FEC" w:rsidRDefault="001B3FEC" w:rsidP="001B3FEC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0286A" w14:textId="77777777" w:rsidR="001B3FEC" w:rsidRPr="001B3FEC" w:rsidRDefault="001B3FEC" w:rsidP="001B3FEC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1B3FEC" w:rsidRPr="001B3FEC" w14:paraId="50BACE0A" w14:textId="77777777" w:rsidTr="001B3FEC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22499" w14:textId="77777777" w:rsidR="001B3FEC" w:rsidRPr="001B3FEC" w:rsidRDefault="001B3FEC" w:rsidP="001B3FEC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2C9F6" w14:textId="77777777" w:rsidR="001B3FEC" w:rsidRPr="001B3FEC" w:rsidRDefault="001B3FEC" w:rsidP="001B3FEC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14:paraId="4C1654D9" w14:textId="77777777" w:rsidR="00B07067" w:rsidRDefault="00B07067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1B3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1B3F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1B3FEC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787BB6A1" w14:textId="37D71222" w:rsidR="0027052A" w:rsidRPr="00077392" w:rsidRDefault="0027052A" w:rsidP="001B3FEC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1B3FEC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777E43BA" w14:textId="50DF7F69" w:rsidR="00584250" w:rsidRPr="005C43F4" w:rsidRDefault="00584250" w:rsidP="001B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1B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1B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1B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0EFA639B" w14:textId="67B20649" w:rsidR="00584250" w:rsidRPr="005C43F4" w:rsidRDefault="00584250" w:rsidP="001B3F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</w:t>
      </w:r>
    </w:p>
    <w:p w14:paraId="36CBFD5D" w14:textId="77777777" w:rsidR="00584250" w:rsidRPr="005C43F4" w:rsidRDefault="00584250" w:rsidP="001B3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1B3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1B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1B3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73BE16AD" w14:textId="77777777" w:rsidR="005C43F4" w:rsidRPr="00CC5795" w:rsidRDefault="005C43F4" w:rsidP="001B3FEC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1B3FEC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1B3FEC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1B3FEC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63141F79" w14:textId="400A581D" w:rsidR="005C43F4" w:rsidRPr="00C46563" w:rsidRDefault="005C43F4" w:rsidP="001B3FEC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363425" w:rsidRDefault="00363425" w:rsidP="001B3FEC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1B3FEC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1B3FEC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26E12AA2" w14:textId="77777777" w:rsidR="0038518D" w:rsidRPr="0038518D" w:rsidRDefault="0038518D" w:rsidP="001B3FE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1B3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58E9D517" w14:textId="77777777" w:rsidR="001C1704" w:rsidRDefault="001C1704" w:rsidP="001B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B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B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1B3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1B3F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1B3FEC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1B3FEC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1B3FEC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1B3FEC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1B3FEC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1B3FEC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1B3FEC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1B3FEC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1B3FEC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1B3FEC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1B3FEC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1B3FEC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1B3FEC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1B3FEC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1B3F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1B3FEC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1B3FEC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1B3FEC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1B3FEC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1B3FEC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5DB80F8A" w14:textId="77777777" w:rsidR="00E37682" w:rsidRDefault="00E37682" w:rsidP="001B3F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4D527C" w:rsidP="001B3F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1B3F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1B3F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1B3F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1B3FE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6022879" w14:textId="77777777" w:rsidR="00E37682" w:rsidRPr="00E37682" w:rsidRDefault="00E37682" w:rsidP="001B3FEC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FCADE43" w14:textId="33A8179B" w:rsidR="00E37682" w:rsidRDefault="00E37682" w:rsidP="001B3F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.СЗИУ располагает доступом через сайт научной библиотеки к следующим подписным электронным ресурсам: </w:t>
      </w:r>
    </w:p>
    <w:p w14:paraId="23209E47" w14:textId="77777777" w:rsidR="00E37682" w:rsidRDefault="00E37682" w:rsidP="001B3FEC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1B3FEC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крупнейшее мировое издательство, специализирующееся на электронных журналах и базах данных по экономике и менеджменту. Имеет статус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1B3FEC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5AFFEC98" w14:textId="77777777" w:rsidR="0038518D" w:rsidRPr="00513812" w:rsidRDefault="0038518D" w:rsidP="001B3FEC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1B3FEC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8B312F1" w14:textId="330D8E28" w:rsidR="00227A25" w:rsidRDefault="00227A25" w:rsidP="001B3FEC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  <w:r w:rsidR="001B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1B3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1B3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1B3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B3FEC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B3FEC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 w:rsidP="001B3FEC">
      <w:pPr>
        <w:spacing w:after="0" w:line="240" w:lineRule="auto"/>
      </w:pPr>
    </w:p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3FEC"/>
    <w:rsid w:val="001B73C3"/>
    <w:rsid w:val="001C1704"/>
    <w:rsid w:val="001D12FF"/>
    <w:rsid w:val="001F0D62"/>
    <w:rsid w:val="002011CF"/>
    <w:rsid w:val="00215E85"/>
    <w:rsid w:val="00227A25"/>
    <w:rsid w:val="00227A66"/>
    <w:rsid w:val="00241DA0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D527C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26A52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971ADFA8-2CF0-4C5A-9D3F-71417C04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A512-E270-4943-BD5F-86517C2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22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Батенева Алена Владимировна</cp:lastModifiedBy>
  <cp:revision>60</cp:revision>
  <cp:lastPrinted>2017-12-11T14:58:00Z</cp:lastPrinted>
  <dcterms:created xsi:type="dcterms:W3CDTF">2019-06-18T15:34:00Z</dcterms:created>
  <dcterms:modified xsi:type="dcterms:W3CDTF">2021-03-11T13:49:00Z</dcterms:modified>
</cp:coreProperties>
</file>